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C19423">
      <w:pPr>
        <w:pStyle w:val="2"/>
        <w:keepNext w:val="0"/>
        <w:keepLines w:val="0"/>
        <w:pageBreakBefore w:val="0"/>
        <w:widowControl/>
        <w:kinsoku/>
        <w:wordWrap/>
        <w:overflowPunct/>
        <w:topLinePunct w:val="0"/>
        <w:autoSpaceDE/>
        <w:autoSpaceDN/>
        <w:bidi w:val="0"/>
        <w:adjustRightInd w:val="0"/>
        <w:snapToGrid w:val="0"/>
        <w:spacing w:beforeAutospacing="0" w:after="0" w:afterAutospacing="0" w:line="360" w:lineRule="auto"/>
        <w:jc w:val="center"/>
        <w:textAlignment w:val="baseline"/>
        <w:rPr>
          <w:rFonts w:hint="eastAsia" w:cs="宋体"/>
          <w:bCs w:val="0"/>
          <w:color w:val="auto"/>
          <w:kern w:val="0"/>
          <w:sz w:val="32"/>
          <w:szCs w:val="32"/>
          <w:highlight w:val="none"/>
          <w:lang w:val="en-US" w:eastAsia="zh-CN"/>
        </w:rPr>
      </w:pPr>
      <w:r>
        <w:rPr>
          <w:rFonts w:hint="eastAsia"/>
        </w:rPr>
        <w:drawing>
          <wp:anchor distT="0" distB="0" distL="114300" distR="114300" simplePos="0" relativeHeight="251666432" behindDoc="1" locked="0" layoutInCell="1" allowOverlap="1">
            <wp:simplePos x="0" y="0"/>
            <wp:positionH relativeFrom="column">
              <wp:posOffset>-335280</wp:posOffset>
            </wp:positionH>
            <wp:positionV relativeFrom="page">
              <wp:posOffset>955675</wp:posOffset>
            </wp:positionV>
            <wp:extent cx="6737985" cy="8682355"/>
            <wp:effectExtent l="0" t="0" r="13335" b="4445"/>
            <wp:wrapNone/>
            <wp:docPr id="8" name="图片 8" descr="底纹-0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底纹-01-01"/>
                    <pic:cNvPicPr>
                      <a:picLocks noChangeAspect="1"/>
                    </pic:cNvPicPr>
                  </pic:nvPicPr>
                  <pic:blipFill>
                    <a:blip r:embed="rId7"/>
                    <a:stretch>
                      <a:fillRect/>
                    </a:stretch>
                  </pic:blipFill>
                  <pic:spPr>
                    <a:xfrm>
                      <a:off x="0" y="0"/>
                      <a:ext cx="6737985" cy="8682355"/>
                    </a:xfrm>
                    <a:prstGeom prst="rect">
                      <a:avLst/>
                    </a:prstGeom>
                  </pic:spPr>
                </pic:pic>
              </a:graphicData>
            </a:graphic>
          </wp:anchor>
        </w:drawing>
      </w:r>
      <w:r>
        <w:rPr>
          <w:rFonts w:hint="eastAsia" w:cs="宋体"/>
          <w:bCs w:val="0"/>
          <w:color w:val="auto"/>
          <w:kern w:val="0"/>
          <w:sz w:val="32"/>
          <w:szCs w:val="32"/>
          <w:highlight w:val="none"/>
        </w:rPr>
        <w:t>小鼠白细胞介素</w:t>
      </w:r>
      <w:r>
        <w:rPr>
          <w:rFonts w:hint="eastAsia" w:cs="宋体"/>
          <w:bCs w:val="0"/>
          <w:color w:val="auto"/>
          <w:kern w:val="0"/>
          <w:sz w:val="32"/>
          <w:szCs w:val="32"/>
          <w:highlight w:val="none"/>
          <w:lang w:val="en-US" w:eastAsia="zh-CN"/>
        </w:rPr>
        <w:t>13</w:t>
      </w:r>
      <w:r>
        <w:rPr>
          <w:rFonts w:hint="eastAsia" w:cs="宋体"/>
          <w:bCs w:val="0"/>
          <w:color w:val="auto"/>
          <w:kern w:val="0"/>
          <w:sz w:val="32"/>
          <w:szCs w:val="32"/>
          <w:highlight w:val="none"/>
        </w:rPr>
        <w:t>(IL-</w:t>
      </w:r>
      <w:r>
        <w:rPr>
          <w:rFonts w:hint="eastAsia" w:cs="宋体"/>
          <w:bCs w:val="0"/>
          <w:color w:val="auto"/>
          <w:kern w:val="0"/>
          <w:sz w:val="32"/>
          <w:szCs w:val="32"/>
          <w:highlight w:val="none"/>
          <w:lang w:val="en-US" w:eastAsia="zh-CN"/>
        </w:rPr>
        <w:t>1</w:t>
      </w:r>
      <w:r>
        <w:rPr>
          <w:rFonts w:hint="eastAsia" w:cs="宋体"/>
          <w:bCs w:val="0"/>
          <w:color w:val="auto"/>
          <w:kern w:val="0"/>
          <w:sz w:val="32"/>
          <w:szCs w:val="32"/>
          <w:highlight w:val="none"/>
        </w:rPr>
        <w:t>3)</w:t>
      </w:r>
      <w:r>
        <w:rPr>
          <w:rFonts w:cs="宋体"/>
          <w:bCs w:val="0"/>
          <w:color w:val="auto"/>
          <w:kern w:val="0"/>
          <w:sz w:val="32"/>
          <w:szCs w:val="32"/>
          <w:highlight w:val="none"/>
        </w:rPr>
        <w:t>ELISA检测试剂盒</w:t>
      </w:r>
      <w:r>
        <w:rPr>
          <w:rFonts w:hint="eastAsia" w:cs="宋体"/>
          <w:bCs w:val="0"/>
          <w:color w:val="auto"/>
          <w:kern w:val="0"/>
          <w:sz w:val="32"/>
          <w:szCs w:val="32"/>
          <w:highlight w:val="none"/>
          <w:lang w:val="en-US" w:eastAsia="zh-CN"/>
        </w:rPr>
        <w:t>说明书</w:t>
      </w:r>
    </w:p>
    <w:p w14:paraId="76FC8316">
      <w:pPr>
        <w:rPr>
          <w:rFonts w:hint="default"/>
        </w:rPr>
      </w:pPr>
    </w:p>
    <w:p w14:paraId="7093E99E">
      <w:pPr>
        <w:keepNext w:val="0"/>
        <w:keepLines w:val="0"/>
        <w:pageBreakBefore w:val="0"/>
        <w:widowControl/>
        <w:kinsoku/>
        <w:wordWrap/>
        <w:overflowPunct/>
        <w:topLinePunct w:val="0"/>
        <w:autoSpaceDE/>
        <w:autoSpaceDN/>
        <w:bidi w:val="0"/>
        <w:adjustRightInd w:val="0"/>
        <w:snapToGrid w:val="0"/>
        <w:spacing w:beforeAutospacing="0" w:after="0" w:afterAutospacing="0" w:line="360" w:lineRule="auto"/>
        <w:rPr>
          <w:rFonts w:hint="eastAsia" w:asciiTheme="minorEastAsia" w:hAnsiTheme="minorEastAsia" w:eastAsiaTheme="minorEastAsia" w:cstheme="minorEastAsia"/>
          <w:b/>
          <w:color w:val="auto"/>
          <w:sz w:val="28"/>
          <w:szCs w:val="28"/>
          <w:highlight w:val="none"/>
          <w:lang w:val="en-US" w:eastAsia="zh-CN"/>
        </w:rPr>
      </w:pPr>
      <w:r>
        <w:rPr>
          <w:rFonts w:hint="eastAsia" w:asciiTheme="minorEastAsia" w:hAnsiTheme="minorEastAsia" w:eastAsiaTheme="minorEastAsia" w:cstheme="minorEastAsia"/>
          <w:b/>
          <w:color w:val="auto"/>
          <w:sz w:val="28"/>
          <w:szCs w:val="28"/>
          <w:highlight w:val="none"/>
          <w:lang w:val="en-US" w:eastAsia="zh-CN"/>
        </w:rPr>
        <w:t>1、试剂盒简介</w:t>
      </w:r>
    </w:p>
    <w:p w14:paraId="0AA14638">
      <w:pPr>
        <w:keepNext w:val="0"/>
        <w:keepLines w:val="0"/>
        <w:pageBreakBefore w:val="0"/>
        <w:widowControl/>
        <w:kinsoku/>
        <w:wordWrap/>
        <w:overflowPunct/>
        <w:topLinePunct w:val="0"/>
        <w:autoSpaceDE/>
        <w:autoSpaceDN/>
        <w:bidi w:val="0"/>
        <w:adjustRightInd w:val="0"/>
        <w:snapToGrid w:val="0"/>
        <w:spacing w:beforeAutospacing="0" w:after="0" w:afterAutospacing="0"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本试剂盒采用“双抗体夹心法”:将</w:t>
      </w:r>
      <w:r>
        <w:rPr>
          <w:rFonts w:hint="eastAsia" w:ascii="宋体" w:hAnsi="宋体" w:eastAsia="宋体" w:cs="宋体"/>
          <w:b w:val="0"/>
          <w:bCs/>
          <w:color w:val="auto"/>
          <w:sz w:val="24"/>
          <w:szCs w:val="24"/>
          <w:highlight w:val="none"/>
        </w:rPr>
        <w:t>小鼠白细胞介素</w:t>
      </w:r>
      <w:r>
        <w:rPr>
          <w:rFonts w:hint="eastAsia" w:ascii="宋体" w:hAnsi="宋体" w:eastAsia="宋体" w:cs="宋体"/>
          <w:b w:val="0"/>
          <w:bCs/>
          <w:color w:val="auto"/>
          <w:sz w:val="24"/>
          <w:szCs w:val="24"/>
          <w:highlight w:val="none"/>
          <w:lang w:val="en-US" w:eastAsia="zh-CN"/>
        </w:rPr>
        <w:t>1</w:t>
      </w:r>
      <w:r>
        <w:rPr>
          <w:rFonts w:hint="eastAsia" w:ascii="宋体" w:hAnsi="宋体" w:eastAsia="宋体" w:cs="宋体"/>
          <w:b w:val="0"/>
          <w:bCs/>
          <w:color w:val="auto"/>
          <w:sz w:val="24"/>
          <w:szCs w:val="24"/>
          <w:highlight w:val="none"/>
        </w:rPr>
        <w:t>3(IL-</w:t>
      </w:r>
      <w:r>
        <w:rPr>
          <w:rFonts w:hint="eastAsia" w:ascii="宋体" w:hAnsi="宋体" w:eastAsia="宋体" w:cs="宋体"/>
          <w:b w:val="0"/>
          <w:bCs/>
          <w:color w:val="auto"/>
          <w:sz w:val="24"/>
          <w:szCs w:val="24"/>
          <w:highlight w:val="none"/>
          <w:lang w:val="en-US" w:eastAsia="zh-CN"/>
        </w:rPr>
        <w:t>1</w:t>
      </w:r>
      <w:r>
        <w:rPr>
          <w:rFonts w:hint="eastAsia" w:ascii="宋体" w:hAnsi="宋体" w:eastAsia="宋体" w:cs="宋体"/>
          <w:b w:val="0"/>
          <w:bCs/>
          <w:color w:val="auto"/>
          <w:sz w:val="24"/>
          <w:szCs w:val="24"/>
          <w:highlight w:val="none"/>
        </w:rPr>
        <w:t>3)</w:t>
      </w:r>
      <w:r>
        <w:rPr>
          <w:rFonts w:hint="eastAsia" w:asciiTheme="minorEastAsia" w:hAnsiTheme="minorEastAsia" w:eastAsiaTheme="minorEastAsia" w:cstheme="minorEastAsia"/>
          <w:color w:val="auto"/>
          <w:sz w:val="24"/>
          <w:szCs w:val="24"/>
          <w:highlight w:val="none"/>
        </w:rPr>
        <w:t>捕获抗体包被于酶标板上，捕获样品及标准品中的靶标，加入生物素标记的抗体与靶标结合，然后再加入酶结合物与生物素标记抗体结合，形成免疫复合物，加入TMB显色液后，若反应孔中有靶标则显蓝色，加入终止液变黄色，检测过程中游离的成分均被洗去，用酶标仪在450 nm处测OD值，颜色的深浅和</w:t>
      </w:r>
      <w:r>
        <w:rPr>
          <w:rFonts w:hint="eastAsia" w:asciiTheme="minorEastAsia" w:hAnsiTheme="minorEastAsia" w:eastAsiaTheme="minorEastAsia" w:cstheme="minorEastAsia"/>
          <w:color w:val="auto"/>
          <w:sz w:val="24"/>
          <w:szCs w:val="24"/>
          <w:highlight w:val="none"/>
          <w:lang w:eastAsia="zh-CN"/>
        </w:rPr>
        <w:t>样品</w:t>
      </w:r>
      <w:r>
        <w:rPr>
          <w:rFonts w:hint="eastAsia" w:asciiTheme="minorEastAsia" w:hAnsiTheme="minorEastAsia" w:eastAsiaTheme="minorEastAsia" w:cstheme="minorEastAsia"/>
          <w:color w:val="auto"/>
          <w:sz w:val="24"/>
          <w:szCs w:val="24"/>
          <w:highlight w:val="none"/>
        </w:rPr>
        <w:t>中的</w:t>
      </w:r>
      <w:r>
        <w:rPr>
          <w:rFonts w:hint="eastAsia" w:ascii="宋体" w:hAnsi="宋体" w:eastAsia="宋体" w:cs="宋体"/>
          <w:b w:val="0"/>
          <w:bCs/>
          <w:color w:val="auto"/>
          <w:sz w:val="24"/>
          <w:szCs w:val="24"/>
          <w:highlight w:val="none"/>
        </w:rPr>
        <w:t>小鼠白细胞介素</w:t>
      </w:r>
      <w:r>
        <w:rPr>
          <w:rFonts w:hint="eastAsia" w:ascii="宋体" w:hAnsi="宋体" w:eastAsia="宋体" w:cs="宋体"/>
          <w:b w:val="0"/>
          <w:bCs/>
          <w:color w:val="auto"/>
          <w:sz w:val="24"/>
          <w:szCs w:val="24"/>
          <w:highlight w:val="none"/>
          <w:lang w:val="en-US" w:eastAsia="zh-CN"/>
        </w:rPr>
        <w:t>1</w:t>
      </w:r>
      <w:r>
        <w:rPr>
          <w:rFonts w:hint="eastAsia" w:ascii="宋体" w:hAnsi="宋体" w:eastAsia="宋体" w:cs="宋体"/>
          <w:b w:val="0"/>
          <w:bCs/>
          <w:color w:val="auto"/>
          <w:sz w:val="24"/>
          <w:szCs w:val="24"/>
          <w:highlight w:val="none"/>
        </w:rPr>
        <w:t>3(IL-</w:t>
      </w:r>
      <w:r>
        <w:rPr>
          <w:rFonts w:hint="eastAsia" w:ascii="宋体" w:hAnsi="宋体" w:eastAsia="宋体" w:cs="宋体"/>
          <w:b w:val="0"/>
          <w:bCs/>
          <w:color w:val="auto"/>
          <w:sz w:val="24"/>
          <w:szCs w:val="24"/>
          <w:highlight w:val="none"/>
          <w:lang w:val="en-US" w:eastAsia="zh-CN"/>
        </w:rPr>
        <w:t>1</w:t>
      </w:r>
      <w:r>
        <w:rPr>
          <w:rFonts w:hint="eastAsia" w:ascii="宋体" w:hAnsi="宋体" w:eastAsia="宋体" w:cs="宋体"/>
          <w:b w:val="0"/>
          <w:bCs/>
          <w:color w:val="auto"/>
          <w:sz w:val="24"/>
          <w:szCs w:val="24"/>
          <w:highlight w:val="none"/>
        </w:rPr>
        <w:t>3)</w:t>
      </w:r>
      <w:r>
        <w:rPr>
          <w:rFonts w:hint="eastAsia" w:asciiTheme="minorEastAsia" w:hAnsiTheme="minorEastAsia" w:eastAsiaTheme="minorEastAsia" w:cstheme="minorEastAsia"/>
          <w:color w:val="auto"/>
          <w:sz w:val="24"/>
          <w:szCs w:val="24"/>
          <w:highlight w:val="none"/>
        </w:rPr>
        <w:t>呈正比，通过绘制标准曲线计算出标本中</w:t>
      </w:r>
      <w:r>
        <w:rPr>
          <w:rFonts w:hint="eastAsia" w:ascii="宋体" w:hAnsi="宋体" w:eastAsia="宋体" w:cs="宋体"/>
          <w:b w:val="0"/>
          <w:bCs/>
          <w:color w:val="auto"/>
          <w:sz w:val="24"/>
          <w:szCs w:val="24"/>
          <w:highlight w:val="none"/>
        </w:rPr>
        <w:t>IL-</w:t>
      </w:r>
      <w:r>
        <w:rPr>
          <w:rFonts w:hint="eastAsia" w:ascii="宋体" w:hAnsi="宋体" w:eastAsia="宋体" w:cs="宋体"/>
          <w:b w:val="0"/>
          <w:bCs/>
          <w:color w:val="auto"/>
          <w:sz w:val="24"/>
          <w:szCs w:val="24"/>
          <w:highlight w:val="none"/>
          <w:lang w:val="en-US" w:eastAsia="zh-CN"/>
        </w:rPr>
        <w:t>1</w:t>
      </w:r>
      <w:bookmarkStart w:id="4" w:name="_GoBack"/>
      <w:bookmarkEnd w:id="4"/>
      <w:r>
        <w:rPr>
          <w:rFonts w:hint="eastAsia" w:ascii="宋体" w:hAnsi="宋体" w:eastAsia="宋体" w:cs="宋体"/>
          <w:b w:val="0"/>
          <w:bCs/>
          <w:color w:val="auto"/>
          <w:sz w:val="24"/>
          <w:szCs w:val="24"/>
          <w:highlight w:val="none"/>
        </w:rPr>
        <w:t>3</w:t>
      </w:r>
      <w:r>
        <w:rPr>
          <w:rFonts w:hint="eastAsia" w:asciiTheme="minorEastAsia" w:hAnsiTheme="minorEastAsia" w:eastAsiaTheme="minorEastAsia" w:cstheme="minorEastAsia"/>
          <w:color w:val="auto"/>
          <w:sz w:val="24"/>
          <w:szCs w:val="24"/>
          <w:highlight w:val="none"/>
        </w:rPr>
        <w:t>的浓度。</w:t>
      </w:r>
      <w:r>
        <w:rPr>
          <w:rFonts w:hint="eastAsia" w:asciiTheme="minorEastAsia" w:hAnsiTheme="minorEastAsia" w:eastAsiaTheme="minorEastAsia" w:cstheme="minorEastAsia"/>
          <w:color w:val="auto"/>
          <w:sz w:val="24"/>
          <w:szCs w:val="24"/>
          <w:highlight w:val="none"/>
          <w:lang w:val="en-US" w:eastAsia="zh-CN"/>
        </w:rPr>
        <w:t>本试剂盒检测范围为3.9-250pg/mL，检测灵敏度为1.84pg/mL。可检测样品中的小鼠IL-13，且与其它类似物无明显交叉反应，板内，板间变异系数均&lt;10% 。</w:t>
      </w:r>
    </w:p>
    <w:p w14:paraId="4322E11E">
      <w:pPr>
        <w:keepNext w:val="0"/>
        <w:keepLines w:val="0"/>
        <w:pageBreakBefore w:val="0"/>
        <w:widowControl/>
        <w:kinsoku/>
        <w:wordWrap/>
        <w:overflowPunct/>
        <w:topLinePunct w:val="0"/>
        <w:autoSpaceDE/>
        <w:autoSpaceDN/>
        <w:bidi w:val="0"/>
        <w:adjustRightInd w:val="0"/>
        <w:snapToGrid w:val="0"/>
        <w:spacing w:beforeAutospacing="0" w:after="0" w:afterAutospacing="0"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p>
    <w:p w14:paraId="42B64DC0">
      <w:pPr>
        <w:keepNext w:val="0"/>
        <w:keepLines w:val="0"/>
        <w:pageBreakBefore w:val="0"/>
        <w:widowControl/>
        <w:kinsoku/>
        <w:wordWrap/>
        <w:overflowPunct/>
        <w:topLinePunct w:val="0"/>
        <w:autoSpaceDE/>
        <w:autoSpaceDN/>
        <w:bidi w:val="0"/>
        <w:adjustRightInd w:val="0"/>
        <w:snapToGrid w:val="0"/>
        <w:spacing w:beforeAutospacing="0" w:after="0" w:afterAutospacing="0" w:line="360" w:lineRule="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2、</w:t>
      </w:r>
      <w:r>
        <w:rPr>
          <w:rFonts w:hint="eastAsia" w:ascii="宋体" w:hAnsi="宋体" w:eastAsia="宋体" w:cs="宋体"/>
          <w:b/>
          <w:bCs/>
          <w:color w:val="auto"/>
          <w:sz w:val="28"/>
          <w:szCs w:val="28"/>
          <w:highlight w:val="none"/>
        </w:rPr>
        <w:t>试剂盒组分</w:t>
      </w:r>
    </w:p>
    <w:tbl>
      <w:tblPr>
        <w:tblStyle w:val="6"/>
        <w:tblpPr w:leftFromText="180" w:rightFromText="180" w:vertAnchor="text" w:horzAnchor="page" w:tblpX="1194" w:tblpY="302"/>
        <w:tblOverlap w:val="never"/>
        <w:tblW w:w="911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15" w:type="dxa"/>
          <w:left w:w="15" w:type="dxa"/>
          <w:bottom w:w="15" w:type="dxa"/>
          <w:right w:w="15" w:type="dxa"/>
        </w:tblCellMar>
      </w:tblPr>
      <w:tblGrid>
        <w:gridCol w:w="3365"/>
        <w:gridCol w:w="2927"/>
        <w:gridCol w:w="2827"/>
      </w:tblGrid>
      <w:tr w14:paraId="478603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8" w:hRule="atLeast"/>
        </w:trPr>
        <w:tc>
          <w:tcPr>
            <w:tcW w:w="3365" w:type="dxa"/>
            <w:tcBorders>
              <w:top w:val="single" w:color="auto" w:sz="4" w:space="0"/>
              <w:bottom w:val="single" w:color="auto" w:sz="4" w:space="0"/>
            </w:tcBorders>
            <w:vAlign w:val="center"/>
          </w:tcPr>
          <w:p w14:paraId="5744FAE7">
            <w:pPr>
              <w:keepNext w:val="0"/>
              <w:keepLines w:val="0"/>
              <w:pageBreakBefore w:val="0"/>
              <w:widowControl/>
              <w:kinsoku/>
              <w:wordWrap/>
              <w:overflowPunct/>
              <w:topLinePunct w:val="0"/>
              <w:autoSpaceDE/>
              <w:autoSpaceDN/>
              <w:bidi w:val="0"/>
              <w:adjustRightInd w:val="0"/>
              <w:snapToGrid w:val="0"/>
              <w:spacing w:beforeAutospacing="0" w:after="0" w:afterAutospacing="0" w:line="360" w:lineRule="auto"/>
              <w:ind w:firstLine="480" w:firstLineChars="200"/>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名 称</w:t>
            </w:r>
          </w:p>
        </w:tc>
        <w:tc>
          <w:tcPr>
            <w:tcW w:w="2927" w:type="dxa"/>
            <w:tcBorders>
              <w:top w:val="single" w:color="auto" w:sz="4" w:space="0"/>
              <w:bottom w:val="single" w:color="auto" w:sz="4" w:space="0"/>
            </w:tcBorders>
            <w:vAlign w:val="center"/>
          </w:tcPr>
          <w:p w14:paraId="0540EC7B">
            <w:pPr>
              <w:keepNext w:val="0"/>
              <w:keepLines w:val="0"/>
              <w:pageBreakBefore w:val="0"/>
              <w:widowControl/>
              <w:kinsoku/>
              <w:wordWrap/>
              <w:overflowPunct/>
              <w:topLinePunct w:val="0"/>
              <w:autoSpaceDE/>
              <w:autoSpaceDN/>
              <w:bidi w:val="0"/>
              <w:adjustRightInd w:val="0"/>
              <w:snapToGrid w:val="0"/>
              <w:spacing w:beforeAutospacing="0" w:after="0" w:afterAutospacing="0" w:line="360" w:lineRule="auto"/>
              <w:ind w:firstLine="480" w:firstLineChars="200"/>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规格（48T）</w:t>
            </w:r>
          </w:p>
        </w:tc>
        <w:tc>
          <w:tcPr>
            <w:tcW w:w="2827" w:type="dxa"/>
            <w:tcBorders>
              <w:top w:val="single" w:color="auto" w:sz="4" w:space="0"/>
              <w:bottom w:val="single" w:color="auto" w:sz="4" w:space="0"/>
            </w:tcBorders>
            <w:vAlign w:val="center"/>
          </w:tcPr>
          <w:p w14:paraId="037537C2">
            <w:pPr>
              <w:keepNext w:val="0"/>
              <w:keepLines w:val="0"/>
              <w:pageBreakBefore w:val="0"/>
              <w:widowControl/>
              <w:kinsoku/>
              <w:wordWrap/>
              <w:overflowPunct/>
              <w:topLinePunct w:val="0"/>
              <w:autoSpaceDE/>
              <w:autoSpaceDN/>
              <w:bidi w:val="0"/>
              <w:adjustRightInd w:val="0"/>
              <w:snapToGrid w:val="0"/>
              <w:spacing w:beforeAutospacing="0" w:after="0" w:afterAutospacing="0" w:line="360" w:lineRule="auto"/>
              <w:ind w:firstLine="480" w:firstLineChars="200"/>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规格（96T）</w:t>
            </w:r>
          </w:p>
        </w:tc>
      </w:tr>
      <w:tr w14:paraId="55F48F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8" w:hRule="atLeast"/>
        </w:trPr>
        <w:tc>
          <w:tcPr>
            <w:tcW w:w="3365" w:type="dxa"/>
            <w:tcBorders>
              <w:top w:val="single" w:color="auto" w:sz="4" w:space="0"/>
            </w:tcBorders>
            <w:vAlign w:val="center"/>
          </w:tcPr>
          <w:p w14:paraId="6C068520">
            <w:pPr>
              <w:keepNext w:val="0"/>
              <w:keepLines w:val="0"/>
              <w:pageBreakBefore w:val="0"/>
              <w:widowControl/>
              <w:kinsoku/>
              <w:wordWrap/>
              <w:overflowPunct/>
              <w:topLinePunct w:val="0"/>
              <w:autoSpaceDE/>
              <w:autoSpaceDN/>
              <w:bidi w:val="0"/>
              <w:adjustRightInd w:val="0"/>
              <w:snapToGrid w:val="0"/>
              <w:spacing w:beforeAutospacing="0" w:after="0" w:afterAutospacing="0" w:line="360" w:lineRule="auto"/>
              <w:ind w:firstLine="480" w:firstLineChars="200"/>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预包被酶标板</w:t>
            </w:r>
          </w:p>
        </w:tc>
        <w:tc>
          <w:tcPr>
            <w:tcW w:w="2927" w:type="dxa"/>
            <w:tcBorders>
              <w:top w:val="single" w:color="auto" w:sz="4" w:space="0"/>
            </w:tcBorders>
            <w:vAlign w:val="center"/>
          </w:tcPr>
          <w:p w14:paraId="7BA0135B">
            <w:pPr>
              <w:keepNext w:val="0"/>
              <w:keepLines w:val="0"/>
              <w:pageBreakBefore w:val="0"/>
              <w:widowControl/>
              <w:kinsoku/>
              <w:wordWrap/>
              <w:overflowPunct/>
              <w:topLinePunct w:val="0"/>
              <w:autoSpaceDE/>
              <w:autoSpaceDN/>
              <w:bidi w:val="0"/>
              <w:adjustRightInd w:val="0"/>
              <w:snapToGrid w:val="0"/>
              <w:spacing w:beforeAutospacing="0" w:after="0" w:afterAutospacing="0" w:line="360" w:lineRule="auto"/>
              <w:ind w:firstLine="480" w:firstLineChars="200"/>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8孔×6条</w:t>
            </w:r>
          </w:p>
        </w:tc>
        <w:tc>
          <w:tcPr>
            <w:tcW w:w="2827" w:type="dxa"/>
            <w:tcBorders>
              <w:top w:val="single" w:color="auto" w:sz="4" w:space="0"/>
            </w:tcBorders>
            <w:vAlign w:val="center"/>
          </w:tcPr>
          <w:p w14:paraId="0E0B4FE5">
            <w:pPr>
              <w:keepNext w:val="0"/>
              <w:keepLines w:val="0"/>
              <w:pageBreakBefore w:val="0"/>
              <w:widowControl/>
              <w:kinsoku/>
              <w:wordWrap/>
              <w:overflowPunct/>
              <w:topLinePunct w:val="0"/>
              <w:autoSpaceDE/>
              <w:autoSpaceDN/>
              <w:bidi w:val="0"/>
              <w:adjustRightInd w:val="0"/>
              <w:snapToGrid w:val="0"/>
              <w:spacing w:beforeAutospacing="0" w:after="0" w:afterAutospacing="0" w:line="360" w:lineRule="auto"/>
              <w:ind w:firstLine="480" w:firstLineChars="200"/>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8孔×12条</w:t>
            </w:r>
          </w:p>
        </w:tc>
      </w:tr>
      <w:tr w14:paraId="0F696B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8" w:hRule="atLeast"/>
        </w:trPr>
        <w:tc>
          <w:tcPr>
            <w:tcW w:w="3365" w:type="dxa"/>
            <w:vAlign w:val="center"/>
          </w:tcPr>
          <w:p w14:paraId="080AFB1F">
            <w:pPr>
              <w:keepNext w:val="0"/>
              <w:keepLines w:val="0"/>
              <w:pageBreakBefore w:val="0"/>
              <w:widowControl/>
              <w:kinsoku/>
              <w:wordWrap/>
              <w:overflowPunct/>
              <w:topLinePunct w:val="0"/>
              <w:autoSpaceDE/>
              <w:autoSpaceDN/>
              <w:bidi w:val="0"/>
              <w:adjustRightInd w:val="0"/>
              <w:snapToGrid w:val="0"/>
              <w:spacing w:beforeAutospacing="0" w:after="0" w:afterAutospacing="0" w:line="360" w:lineRule="auto"/>
              <w:ind w:firstLine="480" w:firstLineChars="200"/>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标准品</w:t>
            </w:r>
          </w:p>
        </w:tc>
        <w:tc>
          <w:tcPr>
            <w:tcW w:w="2927" w:type="dxa"/>
            <w:vAlign w:val="center"/>
          </w:tcPr>
          <w:p w14:paraId="5FDD3CA9">
            <w:pPr>
              <w:keepNext w:val="0"/>
              <w:keepLines w:val="0"/>
              <w:pageBreakBefore w:val="0"/>
              <w:widowControl/>
              <w:kinsoku/>
              <w:wordWrap/>
              <w:overflowPunct/>
              <w:topLinePunct w:val="0"/>
              <w:autoSpaceDE/>
              <w:autoSpaceDN/>
              <w:bidi w:val="0"/>
              <w:adjustRightInd w:val="0"/>
              <w:snapToGrid w:val="0"/>
              <w:spacing w:beforeAutospacing="0" w:after="0" w:afterAutospacing="0" w:line="360" w:lineRule="auto"/>
              <w:ind w:firstLine="480" w:firstLineChars="200"/>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1支</w:t>
            </w:r>
          </w:p>
        </w:tc>
        <w:tc>
          <w:tcPr>
            <w:tcW w:w="2827" w:type="dxa"/>
            <w:vAlign w:val="center"/>
          </w:tcPr>
          <w:p w14:paraId="56C84956">
            <w:pPr>
              <w:keepNext w:val="0"/>
              <w:keepLines w:val="0"/>
              <w:pageBreakBefore w:val="0"/>
              <w:widowControl/>
              <w:kinsoku/>
              <w:wordWrap/>
              <w:overflowPunct/>
              <w:topLinePunct w:val="0"/>
              <w:autoSpaceDE/>
              <w:autoSpaceDN/>
              <w:bidi w:val="0"/>
              <w:adjustRightInd w:val="0"/>
              <w:snapToGrid w:val="0"/>
              <w:spacing w:beforeAutospacing="0" w:after="0" w:afterAutospacing="0" w:line="360" w:lineRule="auto"/>
              <w:ind w:firstLine="480" w:firstLineChars="200"/>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2支</w:t>
            </w:r>
          </w:p>
        </w:tc>
      </w:tr>
      <w:tr w14:paraId="690E47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8" w:hRule="atLeast"/>
        </w:trPr>
        <w:tc>
          <w:tcPr>
            <w:tcW w:w="3365" w:type="dxa"/>
            <w:vAlign w:val="center"/>
          </w:tcPr>
          <w:p w14:paraId="1B8E44C7">
            <w:pPr>
              <w:keepNext w:val="0"/>
              <w:keepLines w:val="0"/>
              <w:pageBreakBefore w:val="0"/>
              <w:widowControl/>
              <w:kinsoku/>
              <w:wordWrap/>
              <w:overflowPunct/>
              <w:topLinePunct w:val="0"/>
              <w:autoSpaceDE/>
              <w:autoSpaceDN/>
              <w:bidi w:val="0"/>
              <w:adjustRightInd w:val="0"/>
              <w:snapToGrid w:val="0"/>
              <w:spacing w:beforeAutospacing="0" w:after="0" w:afterAutospacing="0" w:line="360" w:lineRule="auto"/>
              <w:ind w:firstLine="480" w:firstLineChars="200"/>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标准品&amp;样品稀释液</w:t>
            </w:r>
          </w:p>
        </w:tc>
        <w:tc>
          <w:tcPr>
            <w:tcW w:w="2927" w:type="dxa"/>
            <w:vAlign w:val="center"/>
          </w:tcPr>
          <w:p w14:paraId="2E70CC76">
            <w:pPr>
              <w:keepNext w:val="0"/>
              <w:keepLines w:val="0"/>
              <w:pageBreakBefore w:val="0"/>
              <w:widowControl/>
              <w:kinsoku/>
              <w:wordWrap/>
              <w:overflowPunct/>
              <w:topLinePunct w:val="0"/>
              <w:autoSpaceDE/>
              <w:autoSpaceDN/>
              <w:bidi w:val="0"/>
              <w:adjustRightInd w:val="0"/>
              <w:snapToGrid w:val="0"/>
              <w:spacing w:beforeAutospacing="0" w:after="0" w:afterAutospacing="0" w:line="360" w:lineRule="auto"/>
              <w:ind w:firstLine="480" w:firstLineChars="200"/>
              <w:jc w:val="center"/>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10</w:t>
            </w:r>
            <w:r>
              <w:rPr>
                <w:rFonts w:hint="eastAsia" w:asciiTheme="minorEastAsia" w:hAnsiTheme="minorEastAsia" w:eastAsiaTheme="minorEastAsia" w:cstheme="minorEastAsia"/>
                <w:color w:val="auto"/>
                <w:sz w:val="24"/>
                <w:szCs w:val="24"/>
                <w:highlight w:val="none"/>
                <w:lang w:eastAsia="zh-CN"/>
              </w:rPr>
              <w:t>mL</w:t>
            </w:r>
          </w:p>
        </w:tc>
        <w:tc>
          <w:tcPr>
            <w:tcW w:w="2827" w:type="dxa"/>
            <w:vAlign w:val="center"/>
          </w:tcPr>
          <w:p w14:paraId="23CC5852">
            <w:pPr>
              <w:keepNext w:val="0"/>
              <w:keepLines w:val="0"/>
              <w:pageBreakBefore w:val="0"/>
              <w:widowControl/>
              <w:kinsoku/>
              <w:wordWrap/>
              <w:overflowPunct/>
              <w:topLinePunct w:val="0"/>
              <w:autoSpaceDE/>
              <w:autoSpaceDN/>
              <w:bidi w:val="0"/>
              <w:adjustRightInd w:val="0"/>
              <w:snapToGrid w:val="0"/>
              <w:spacing w:beforeAutospacing="0" w:after="0" w:afterAutospacing="0" w:line="360" w:lineRule="auto"/>
              <w:ind w:firstLine="480" w:firstLineChars="200"/>
              <w:jc w:val="center"/>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15</w:t>
            </w:r>
            <w:r>
              <w:rPr>
                <w:rFonts w:hint="eastAsia" w:asciiTheme="minorEastAsia" w:hAnsiTheme="minorEastAsia" w:eastAsiaTheme="minorEastAsia" w:cstheme="minorEastAsia"/>
                <w:color w:val="auto"/>
                <w:sz w:val="24"/>
                <w:szCs w:val="24"/>
                <w:highlight w:val="none"/>
                <w:lang w:eastAsia="zh-CN"/>
              </w:rPr>
              <w:t>mL</w:t>
            </w:r>
          </w:p>
        </w:tc>
      </w:tr>
      <w:tr w14:paraId="122F4A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8" w:hRule="atLeast"/>
        </w:trPr>
        <w:tc>
          <w:tcPr>
            <w:tcW w:w="3365" w:type="dxa"/>
            <w:vAlign w:val="center"/>
          </w:tcPr>
          <w:p w14:paraId="196BBFBE">
            <w:pPr>
              <w:keepNext w:val="0"/>
              <w:keepLines w:val="0"/>
              <w:pageBreakBefore w:val="0"/>
              <w:widowControl/>
              <w:kinsoku/>
              <w:wordWrap/>
              <w:overflowPunct/>
              <w:topLinePunct w:val="0"/>
              <w:autoSpaceDE/>
              <w:autoSpaceDN/>
              <w:bidi w:val="0"/>
              <w:adjustRightInd w:val="0"/>
              <w:snapToGrid w:val="0"/>
              <w:spacing w:beforeAutospacing="0" w:after="0" w:afterAutospacing="0" w:line="360" w:lineRule="auto"/>
              <w:ind w:firstLine="480" w:firstLineChars="200"/>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生物素</w:t>
            </w:r>
            <w:r>
              <w:rPr>
                <w:rFonts w:hint="eastAsia" w:asciiTheme="minorEastAsia" w:hAnsiTheme="minorEastAsia" w:eastAsiaTheme="minorEastAsia" w:cstheme="minorEastAsia"/>
                <w:color w:val="auto"/>
                <w:sz w:val="24"/>
                <w:szCs w:val="24"/>
                <w:highlight w:val="none"/>
                <w:lang w:eastAsia="zh-Hans"/>
              </w:rPr>
              <w:t>标记</w:t>
            </w:r>
            <w:r>
              <w:rPr>
                <w:rFonts w:hint="eastAsia" w:asciiTheme="minorEastAsia" w:hAnsiTheme="minorEastAsia" w:eastAsiaTheme="minorEastAsia" w:cstheme="minorEastAsia"/>
                <w:color w:val="auto"/>
                <w:sz w:val="24"/>
                <w:szCs w:val="24"/>
                <w:highlight w:val="none"/>
              </w:rPr>
              <w:t>抗体</w:t>
            </w:r>
          </w:p>
        </w:tc>
        <w:tc>
          <w:tcPr>
            <w:tcW w:w="2927" w:type="dxa"/>
            <w:vAlign w:val="center"/>
          </w:tcPr>
          <w:p w14:paraId="0233EC8F">
            <w:pPr>
              <w:keepNext w:val="0"/>
              <w:keepLines w:val="0"/>
              <w:pageBreakBefore w:val="0"/>
              <w:widowControl/>
              <w:kinsoku/>
              <w:wordWrap/>
              <w:overflowPunct/>
              <w:topLinePunct w:val="0"/>
              <w:autoSpaceDE/>
              <w:autoSpaceDN/>
              <w:bidi w:val="0"/>
              <w:adjustRightInd w:val="0"/>
              <w:snapToGrid w:val="0"/>
              <w:spacing w:beforeAutospacing="0" w:after="0" w:afterAutospacing="0" w:line="360" w:lineRule="auto"/>
              <w:ind w:firstLine="480" w:firstLineChars="200"/>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1支（100×）</w:t>
            </w:r>
          </w:p>
        </w:tc>
        <w:tc>
          <w:tcPr>
            <w:tcW w:w="2827" w:type="dxa"/>
            <w:vAlign w:val="center"/>
          </w:tcPr>
          <w:p w14:paraId="103D0B42">
            <w:pPr>
              <w:keepNext w:val="0"/>
              <w:keepLines w:val="0"/>
              <w:pageBreakBefore w:val="0"/>
              <w:widowControl/>
              <w:kinsoku/>
              <w:wordWrap/>
              <w:overflowPunct/>
              <w:topLinePunct w:val="0"/>
              <w:autoSpaceDE/>
              <w:autoSpaceDN/>
              <w:bidi w:val="0"/>
              <w:adjustRightInd w:val="0"/>
              <w:snapToGrid w:val="0"/>
              <w:spacing w:beforeAutospacing="0" w:after="0" w:afterAutospacing="0" w:line="360" w:lineRule="auto"/>
              <w:ind w:firstLine="480" w:firstLineChars="200"/>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1支（100×）</w:t>
            </w:r>
          </w:p>
        </w:tc>
      </w:tr>
      <w:tr w14:paraId="5F534E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03" w:hRule="atLeast"/>
        </w:trPr>
        <w:tc>
          <w:tcPr>
            <w:tcW w:w="3365" w:type="dxa"/>
            <w:vAlign w:val="center"/>
          </w:tcPr>
          <w:p w14:paraId="7C5A8C78">
            <w:pPr>
              <w:keepNext w:val="0"/>
              <w:keepLines w:val="0"/>
              <w:pageBreakBefore w:val="0"/>
              <w:widowControl/>
              <w:kinsoku/>
              <w:wordWrap/>
              <w:overflowPunct/>
              <w:topLinePunct w:val="0"/>
              <w:autoSpaceDE/>
              <w:autoSpaceDN/>
              <w:bidi w:val="0"/>
              <w:adjustRightInd w:val="0"/>
              <w:snapToGrid w:val="0"/>
              <w:spacing w:beforeAutospacing="0" w:after="0" w:afterAutospacing="0" w:line="360" w:lineRule="auto"/>
              <w:ind w:firstLine="480" w:firstLineChars="200"/>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生物素</w:t>
            </w:r>
            <w:r>
              <w:rPr>
                <w:rFonts w:hint="eastAsia" w:asciiTheme="minorEastAsia" w:hAnsiTheme="minorEastAsia" w:eastAsiaTheme="minorEastAsia" w:cstheme="minorEastAsia"/>
                <w:color w:val="auto"/>
                <w:sz w:val="24"/>
                <w:szCs w:val="24"/>
                <w:highlight w:val="none"/>
                <w:lang w:eastAsia="zh-Hans"/>
              </w:rPr>
              <w:t>标记</w:t>
            </w:r>
            <w:r>
              <w:rPr>
                <w:rFonts w:hint="eastAsia" w:asciiTheme="minorEastAsia" w:hAnsiTheme="minorEastAsia" w:eastAsiaTheme="minorEastAsia" w:cstheme="minorEastAsia"/>
                <w:color w:val="auto"/>
                <w:sz w:val="24"/>
                <w:szCs w:val="24"/>
                <w:highlight w:val="none"/>
              </w:rPr>
              <w:t>抗体稀释液</w:t>
            </w:r>
          </w:p>
        </w:tc>
        <w:tc>
          <w:tcPr>
            <w:tcW w:w="2927" w:type="dxa"/>
            <w:vAlign w:val="center"/>
          </w:tcPr>
          <w:p w14:paraId="25F3CACE">
            <w:pPr>
              <w:keepNext w:val="0"/>
              <w:keepLines w:val="0"/>
              <w:pageBreakBefore w:val="0"/>
              <w:widowControl/>
              <w:kinsoku/>
              <w:wordWrap/>
              <w:overflowPunct/>
              <w:topLinePunct w:val="0"/>
              <w:autoSpaceDE/>
              <w:autoSpaceDN/>
              <w:bidi w:val="0"/>
              <w:adjustRightInd w:val="0"/>
              <w:snapToGrid w:val="0"/>
              <w:spacing w:beforeAutospacing="0" w:after="0" w:afterAutospacing="0" w:line="360" w:lineRule="auto"/>
              <w:ind w:firstLine="480" w:firstLineChars="200"/>
              <w:jc w:val="center"/>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10</w:t>
            </w:r>
            <w:r>
              <w:rPr>
                <w:rFonts w:hint="eastAsia" w:asciiTheme="minorEastAsia" w:hAnsiTheme="minorEastAsia" w:eastAsiaTheme="minorEastAsia" w:cstheme="minorEastAsia"/>
                <w:color w:val="auto"/>
                <w:sz w:val="24"/>
                <w:szCs w:val="24"/>
                <w:highlight w:val="none"/>
                <w:lang w:eastAsia="zh-CN"/>
              </w:rPr>
              <w:t>mL</w:t>
            </w:r>
          </w:p>
        </w:tc>
        <w:tc>
          <w:tcPr>
            <w:tcW w:w="2827" w:type="dxa"/>
            <w:vAlign w:val="center"/>
          </w:tcPr>
          <w:p w14:paraId="45914DB1">
            <w:pPr>
              <w:keepNext w:val="0"/>
              <w:keepLines w:val="0"/>
              <w:pageBreakBefore w:val="0"/>
              <w:widowControl/>
              <w:kinsoku/>
              <w:wordWrap/>
              <w:overflowPunct/>
              <w:topLinePunct w:val="0"/>
              <w:autoSpaceDE/>
              <w:autoSpaceDN/>
              <w:bidi w:val="0"/>
              <w:adjustRightInd w:val="0"/>
              <w:snapToGrid w:val="0"/>
              <w:spacing w:beforeAutospacing="0" w:after="0" w:afterAutospacing="0" w:line="360" w:lineRule="auto"/>
              <w:ind w:firstLine="480" w:firstLineChars="200"/>
              <w:jc w:val="center"/>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15</w:t>
            </w:r>
            <w:r>
              <w:rPr>
                <w:rFonts w:hint="eastAsia" w:asciiTheme="minorEastAsia" w:hAnsiTheme="minorEastAsia" w:eastAsiaTheme="minorEastAsia" w:cstheme="minorEastAsia"/>
                <w:color w:val="auto"/>
                <w:sz w:val="24"/>
                <w:szCs w:val="24"/>
                <w:highlight w:val="none"/>
                <w:lang w:eastAsia="zh-CN"/>
              </w:rPr>
              <w:t>mL</w:t>
            </w:r>
          </w:p>
        </w:tc>
      </w:tr>
      <w:tr w14:paraId="728A1E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8" w:hRule="atLeast"/>
        </w:trPr>
        <w:tc>
          <w:tcPr>
            <w:tcW w:w="3365" w:type="dxa"/>
            <w:vAlign w:val="center"/>
          </w:tcPr>
          <w:p w14:paraId="010FA955">
            <w:pPr>
              <w:keepNext w:val="0"/>
              <w:keepLines w:val="0"/>
              <w:pageBreakBefore w:val="0"/>
              <w:widowControl/>
              <w:kinsoku/>
              <w:wordWrap/>
              <w:overflowPunct/>
              <w:topLinePunct w:val="0"/>
              <w:autoSpaceDE/>
              <w:autoSpaceDN/>
              <w:bidi w:val="0"/>
              <w:adjustRightInd w:val="0"/>
              <w:snapToGrid w:val="0"/>
              <w:spacing w:beforeAutospacing="0" w:after="0" w:afterAutospacing="0" w:line="360" w:lineRule="auto"/>
              <w:ind w:firstLine="480" w:firstLineChars="200"/>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Hans"/>
              </w:rPr>
              <w:t>酶结合物</w:t>
            </w:r>
          </w:p>
        </w:tc>
        <w:tc>
          <w:tcPr>
            <w:tcW w:w="2927" w:type="dxa"/>
            <w:vAlign w:val="center"/>
          </w:tcPr>
          <w:p w14:paraId="543A3C0F">
            <w:pPr>
              <w:keepNext w:val="0"/>
              <w:keepLines w:val="0"/>
              <w:pageBreakBefore w:val="0"/>
              <w:widowControl/>
              <w:kinsoku/>
              <w:wordWrap/>
              <w:overflowPunct/>
              <w:topLinePunct w:val="0"/>
              <w:autoSpaceDE/>
              <w:autoSpaceDN/>
              <w:bidi w:val="0"/>
              <w:adjustRightInd w:val="0"/>
              <w:snapToGrid w:val="0"/>
              <w:spacing w:beforeAutospacing="0" w:after="0" w:afterAutospacing="0" w:line="360" w:lineRule="auto"/>
              <w:ind w:firstLine="480" w:firstLineChars="200"/>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1支（100×）</w:t>
            </w:r>
          </w:p>
        </w:tc>
        <w:tc>
          <w:tcPr>
            <w:tcW w:w="2827" w:type="dxa"/>
            <w:vAlign w:val="center"/>
          </w:tcPr>
          <w:p w14:paraId="60B8EC4D">
            <w:pPr>
              <w:keepNext w:val="0"/>
              <w:keepLines w:val="0"/>
              <w:pageBreakBefore w:val="0"/>
              <w:widowControl/>
              <w:kinsoku/>
              <w:wordWrap/>
              <w:overflowPunct/>
              <w:topLinePunct w:val="0"/>
              <w:autoSpaceDE/>
              <w:autoSpaceDN/>
              <w:bidi w:val="0"/>
              <w:adjustRightInd w:val="0"/>
              <w:snapToGrid w:val="0"/>
              <w:spacing w:beforeAutospacing="0" w:after="0" w:afterAutospacing="0" w:line="360" w:lineRule="auto"/>
              <w:ind w:firstLine="480" w:firstLineChars="200"/>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1支（100×）</w:t>
            </w:r>
          </w:p>
        </w:tc>
      </w:tr>
      <w:tr w14:paraId="6EEA08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8" w:hRule="atLeast"/>
        </w:trPr>
        <w:tc>
          <w:tcPr>
            <w:tcW w:w="3365" w:type="dxa"/>
            <w:vAlign w:val="center"/>
          </w:tcPr>
          <w:p w14:paraId="5669B489">
            <w:pPr>
              <w:keepNext w:val="0"/>
              <w:keepLines w:val="0"/>
              <w:pageBreakBefore w:val="0"/>
              <w:widowControl/>
              <w:kinsoku/>
              <w:wordWrap/>
              <w:overflowPunct/>
              <w:topLinePunct w:val="0"/>
              <w:autoSpaceDE/>
              <w:autoSpaceDN/>
              <w:bidi w:val="0"/>
              <w:adjustRightInd w:val="0"/>
              <w:snapToGrid w:val="0"/>
              <w:spacing w:beforeAutospacing="0" w:after="0" w:afterAutospacing="0" w:line="360" w:lineRule="auto"/>
              <w:ind w:firstLine="480" w:firstLineChars="200"/>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Hans"/>
              </w:rPr>
              <w:t>酶结合物</w:t>
            </w:r>
            <w:r>
              <w:rPr>
                <w:rFonts w:hint="eastAsia" w:asciiTheme="minorEastAsia" w:hAnsiTheme="minorEastAsia" w:eastAsiaTheme="minorEastAsia" w:cstheme="minorEastAsia"/>
                <w:color w:val="auto"/>
                <w:sz w:val="24"/>
                <w:szCs w:val="24"/>
                <w:highlight w:val="none"/>
              </w:rPr>
              <w:t>稀释液</w:t>
            </w:r>
          </w:p>
        </w:tc>
        <w:tc>
          <w:tcPr>
            <w:tcW w:w="2927" w:type="dxa"/>
            <w:vAlign w:val="center"/>
          </w:tcPr>
          <w:p w14:paraId="3EB2ED9D">
            <w:pPr>
              <w:keepNext w:val="0"/>
              <w:keepLines w:val="0"/>
              <w:pageBreakBefore w:val="0"/>
              <w:widowControl/>
              <w:kinsoku/>
              <w:wordWrap/>
              <w:overflowPunct/>
              <w:topLinePunct w:val="0"/>
              <w:autoSpaceDE/>
              <w:autoSpaceDN/>
              <w:bidi w:val="0"/>
              <w:adjustRightInd w:val="0"/>
              <w:snapToGrid w:val="0"/>
              <w:spacing w:beforeAutospacing="0" w:after="0" w:afterAutospacing="0" w:line="360" w:lineRule="auto"/>
              <w:ind w:firstLine="480" w:firstLineChars="200"/>
              <w:jc w:val="center"/>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10</w:t>
            </w:r>
            <w:r>
              <w:rPr>
                <w:rFonts w:hint="eastAsia" w:asciiTheme="minorEastAsia" w:hAnsiTheme="minorEastAsia" w:eastAsiaTheme="minorEastAsia" w:cstheme="minorEastAsia"/>
                <w:color w:val="auto"/>
                <w:sz w:val="24"/>
                <w:szCs w:val="24"/>
                <w:highlight w:val="none"/>
                <w:lang w:eastAsia="zh-CN"/>
              </w:rPr>
              <w:t>mL</w:t>
            </w:r>
          </w:p>
        </w:tc>
        <w:tc>
          <w:tcPr>
            <w:tcW w:w="2827" w:type="dxa"/>
            <w:vAlign w:val="center"/>
          </w:tcPr>
          <w:p w14:paraId="15C35F31">
            <w:pPr>
              <w:keepNext w:val="0"/>
              <w:keepLines w:val="0"/>
              <w:pageBreakBefore w:val="0"/>
              <w:widowControl/>
              <w:kinsoku/>
              <w:wordWrap/>
              <w:overflowPunct/>
              <w:topLinePunct w:val="0"/>
              <w:autoSpaceDE/>
              <w:autoSpaceDN/>
              <w:bidi w:val="0"/>
              <w:adjustRightInd w:val="0"/>
              <w:snapToGrid w:val="0"/>
              <w:spacing w:beforeAutospacing="0" w:after="0" w:afterAutospacing="0" w:line="360" w:lineRule="auto"/>
              <w:ind w:firstLine="480" w:firstLineChars="200"/>
              <w:jc w:val="center"/>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15</w:t>
            </w:r>
            <w:r>
              <w:rPr>
                <w:rFonts w:hint="eastAsia" w:asciiTheme="minorEastAsia" w:hAnsiTheme="minorEastAsia" w:eastAsiaTheme="minorEastAsia" w:cstheme="minorEastAsia"/>
                <w:color w:val="auto"/>
                <w:sz w:val="24"/>
                <w:szCs w:val="24"/>
                <w:highlight w:val="none"/>
                <w:lang w:eastAsia="zh-CN"/>
              </w:rPr>
              <w:t>mL</w:t>
            </w:r>
          </w:p>
        </w:tc>
      </w:tr>
      <w:tr w14:paraId="4FD45D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8" w:hRule="atLeast"/>
        </w:trPr>
        <w:tc>
          <w:tcPr>
            <w:tcW w:w="3365" w:type="dxa"/>
            <w:vAlign w:val="center"/>
          </w:tcPr>
          <w:p w14:paraId="0E947B33">
            <w:pPr>
              <w:keepNext w:val="0"/>
              <w:keepLines w:val="0"/>
              <w:pageBreakBefore w:val="0"/>
              <w:widowControl/>
              <w:kinsoku/>
              <w:wordWrap/>
              <w:overflowPunct/>
              <w:topLinePunct w:val="0"/>
              <w:autoSpaceDE/>
              <w:autoSpaceDN/>
              <w:bidi w:val="0"/>
              <w:adjustRightInd w:val="0"/>
              <w:snapToGrid w:val="0"/>
              <w:spacing w:beforeAutospacing="0" w:after="0" w:afterAutospacing="0" w:line="360" w:lineRule="auto"/>
              <w:ind w:firstLine="480" w:firstLineChars="200"/>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TMB显色液A</w:t>
            </w:r>
          </w:p>
        </w:tc>
        <w:tc>
          <w:tcPr>
            <w:tcW w:w="2927" w:type="dxa"/>
            <w:vAlign w:val="center"/>
          </w:tcPr>
          <w:p w14:paraId="3BEF33CB">
            <w:pPr>
              <w:keepNext w:val="0"/>
              <w:keepLines w:val="0"/>
              <w:pageBreakBefore w:val="0"/>
              <w:widowControl/>
              <w:kinsoku/>
              <w:wordWrap/>
              <w:overflowPunct/>
              <w:topLinePunct w:val="0"/>
              <w:autoSpaceDE/>
              <w:autoSpaceDN/>
              <w:bidi w:val="0"/>
              <w:adjustRightInd w:val="0"/>
              <w:snapToGrid w:val="0"/>
              <w:spacing w:beforeAutospacing="0" w:after="0" w:afterAutospacing="0" w:line="360" w:lineRule="auto"/>
              <w:ind w:firstLine="480" w:firstLineChars="200"/>
              <w:jc w:val="center"/>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3</w:t>
            </w:r>
            <w:r>
              <w:rPr>
                <w:rFonts w:hint="eastAsia" w:asciiTheme="minorEastAsia" w:hAnsiTheme="minorEastAsia" w:eastAsiaTheme="minorEastAsia" w:cstheme="minorEastAsia"/>
                <w:color w:val="auto"/>
                <w:sz w:val="24"/>
                <w:szCs w:val="24"/>
                <w:highlight w:val="none"/>
                <w:lang w:eastAsia="zh-CN"/>
              </w:rPr>
              <w:t>mL</w:t>
            </w:r>
          </w:p>
        </w:tc>
        <w:tc>
          <w:tcPr>
            <w:tcW w:w="2827" w:type="dxa"/>
            <w:vAlign w:val="center"/>
          </w:tcPr>
          <w:p w14:paraId="3DF6F463">
            <w:pPr>
              <w:keepNext w:val="0"/>
              <w:keepLines w:val="0"/>
              <w:pageBreakBefore w:val="0"/>
              <w:widowControl/>
              <w:kinsoku/>
              <w:wordWrap/>
              <w:overflowPunct/>
              <w:topLinePunct w:val="0"/>
              <w:autoSpaceDE/>
              <w:autoSpaceDN/>
              <w:bidi w:val="0"/>
              <w:adjustRightInd w:val="0"/>
              <w:snapToGrid w:val="0"/>
              <w:spacing w:beforeAutospacing="0" w:after="0" w:afterAutospacing="0" w:line="360" w:lineRule="auto"/>
              <w:ind w:firstLine="480" w:firstLineChars="200"/>
              <w:jc w:val="center"/>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6</w:t>
            </w:r>
            <w:r>
              <w:rPr>
                <w:rFonts w:hint="eastAsia" w:asciiTheme="minorEastAsia" w:hAnsiTheme="minorEastAsia" w:eastAsiaTheme="minorEastAsia" w:cstheme="minorEastAsia"/>
                <w:color w:val="auto"/>
                <w:sz w:val="24"/>
                <w:szCs w:val="24"/>
                <w:highlight w:val="none"/>
                <w:lang w:eastAsia="zh-CN"/>
              </w:rPr>
              <w:t>mL</w:t>
            </w:r>
          </w:p>
        </w:tc>
      </w:tr>
      <w:tr w14:paraId="67D1E0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8" w:hRule="atLeast"/>
        </w:trPr>
        <w:tc>
          <w:tcPr>
            <w:tcW w:w="3365" w:type="dxa"/>
            <w:vAlign w:val="center"/>
          </w:tcPr>
          <w:p w14:paraId="7B98240E">
            <w:pPr>
              <w:keepNext w:val="0"/>
              <w:keepLines w:val="0"/>
              <w:pageBreakBefore w:val="0"/>
              <w:widowControl/>
              <w:kinsoku/>
              <w:wordWrap/>
              <w:overflowPunct/>
              <w:topLinePunct w:val="0"/>
              <w:autoSpaceDE/>
              <w:autoSpaceDN/>
              <w:bidi w:val="0"/>
              <w:adjustRightInd w:val="0"/>
              <w:snapToGrid w:val="0"/>
              <w:spacing w:beforeAutospacing="0" w:after="0" w:afterAutospacing="0" w:line="360" w:lineRule="auto"/>
              <w:ind w:firstLine="480" w:firstLineChars="200"/>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TMB显色液B</w:t>
            </w:r>
          </w:p>
        </w:tc>
        <w:tc>
          <w:tcPr>
            <w:tcW w:w="2927" w:type="dxa"/>
            <w:vAlign w:val="center"/>
          </w:tcPr>
          <w:p w14:paraId="7576CCF9">
            <w:pPr>
              <w:keepNext w:val="0"/>
              <w:keepLines w:val="0"/>
              <w:pageBreakBefore w:val="0"/>
              <w:widowControl/>
              <w:kinsoku/>
              <w:wordWrap/>
              <w:overflowPunct/>
              <w:topLinePunct w:val="0"/>
              <w:autoSpaceDE/>
              <w:autoSpaceDN/>
              <w:bidi w:val="0"/>
              <w:adjustRightInd w:val="0"/>
              <w:snapToGrid w:val="0"/>
              <w:spacing w:beforeAutospacing="0" w:after="0" w:afterAutospacing="0" w:line="360" w:lineRule="auto"/>
              <w:ind w:firstLine="480" w:firstLineChars="200"/>
              <w:jc w:val="center"/>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3</w:t>
            </w:r>
            <w:r>
              <w:rPr>
                <w:rFonts w:hint="eastAsia" w:asciiTheme="minorEastAsia" w:hAnsiTheme="minorEastAsia" w:eastAsiaTheme="minorEastAsia" w:cstheme="minorEastAsia"/>
                <w:color w:val="auto"/>
                <w:sz w:val="24"/>
                <w:szCs w:val="24"/>
                <w:highlight w:val="none"/>
                <w:lang w:eastAsia="zh-CN"/>
              </w:rPr>
              <w:t>mL</w:t>
            </w:r>
          </w:p>
        </w:tc>
        <w:tc>
          <w:tcPr>
            <w:tcW w:w="2827" w:type="dxa"/>
            <w:vAlign w:val="center"/>
          </w:tcPr>
          <w:p w14:paraId="242728B5">
            <w:pPr>
              <w:keepNext w:val="0"/>
              <w:keepLines w:val="0"/>
              <w:pageBreakBefore w:val="0"/>
              <w:widowControl/>
              <w:kinsoku/>
              <w:wordWrap/>
              <w:overflowPunct/>
              <w:topLinePunct w:val="0"/>
              <w:autoSpaceDE/>
              <w:autoSpaceDN/>
              <w:bidi w:val="0"/>
              <w:adjustRightInd w:val="0"/>
              <w:snapToGrid w:val="0"/>
              <w:spacing w:beforeAutospacing="0" w:after="0" w:afterAutospacing="0" w:line="360" w:lineRule="auto"/>
              <w:ind w:firstLine="480" w:firstLineChars="200"/>
              <w:jc w:val="center"/>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6</w:t>
            </w:r>
            <w:r>
              <w:rPr>
                <w:rFonts w:hint="eastAsia" w:asciiTheme="minorEastAsia" w:hAnsiTheme="minorEastAsia" w:eastAsiaTheme="minorEastAsia" w:cstheme="minorEastAsia"/>
                <w:color w:val="auto"/>
                <w:sz w:val="24"/>
                <w:szCs w:val="24"/>
                <w:highlight w:val="none"/>
                <w:lang w:eastAsia="zh-CN"/>
              </w:rPr>
              <w:t>mL</w:t>
            </w:r>
          </w:p>
        </w:tc>
      </w:tr>
      <w:tr w14:paraId="450F45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8" w:hRule="atLeast"/>
        </w:trPr>
        <w:tc>
          <w:tcPr>
            <w:tcW w:w="3365" w:type="dxa"/>
            <w:vAlign w:val="center"/>
          </w:tcPr>
          <w:p w14:paraId="25C6D11A">
            <w:pPr>
              <w:keepNext w:val="0"/>
              <w:keepLines w:val="0"/>
              <w:pageBreakBefore w:val="0"/>
              <w:widowControl/>
              <w:kinsoku/>
              <w:wordWrap/>
              <w:overflowPunct/>
              <w:topLinePunct w:val="0"/>
              <w:autoSpaceDE/>
              <w:autoSpaceDN/>
              <w:bidi w:val="0"/>
              <w:adjustRightInd w:val="0"/>
              <w:snapToGrid w:val="0"/>
              <w:spacing w:beforeAutospacing="0" w:after="0" w:afterAutospacing="0" w:line="360" w:lineRule="auto"/>
              <w:ind w:firstLine="480" w:firstLineChars="200"/>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终止液</w:t>
            </w:r>
          </w:p>
        </w:tc>
        <w:tc>
          <w:tcPr>
            <w:tcW w:w="2927" w:type="dxa"/>
            <w:vAlign w:val="center"/>
          </w:tcPr>
          <w:p w14:paraId="332BEFAE">
            <w:pPr>
              <w:keepNext w:val="0"/>
              <w:keepLines w:val="0"/>
              <w:pageBreakBefore w:val="0"/>
              <w:widowControl/>
              <w:kinsoku/>
              <w:wordWrap/>
              <w:overflowPunct/>
              <w:topLinePunct w:val="0"/>
              <w:autoSpaceDE/>
              <w:autoSpaceDN/>
              <w:bidi w:val="0"/>
              <w:adjustRightInd w:val="0"/>
              <w:snapToGrid w:val="0"/>
              <w:spacing w:beforeAutospacing="0" w:after="0" w:afterAutospacing="0" w:line="360" w:lineRule="auto"/>
              <w:ind w:firstLine="480" w:firstLineChars="200"/>
              <w:jc w:val="center"/>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3</w:t>
            </w:r>
            <w:r>
              <w:rPr>
                <w:rFonts w:hint="eastAsia" w:asciiTheme="minorEastAsia" w:hAnsiTheme="minorEastAsia" w:eastAsiaTheme="minorEastAsia" w:cstheme="minorEastAsia"/>
                <w:color w:val="auto"/>
                <w:sz w:val="24"/>
                <w:szCs w:val="24"/>
                <w:highlight w:val="none"/>
                <w:lang w:eastAsia="zh-CN"/>
              </w:rPr>
              <w:t>mL</w:t>
            </w:r>
          </w:p>
        </w:tc>
        <w:tc>
          <w:tcPr>
            <w:tcW w:w="2827" w:type="dxa"/>
            <w:vAlign w:val="center"/>
          </w:tcPr>
          <w:p w14:paraId="2E2555ED">
            <w:pPr>
              <w:keepNext w:val="0"/>
              <w:keepLines w:val="0"/>
              <w:pageBreakBefore w:val="0"/>
              <w:widowControl/>
              <w:kinsoku/>
              <w:wordWrap/>
              <w:overflowPunct/>
              <w:topLinePunct w:val="0"/>
              <w:autoSpaceDE/>
              <w:autoSpaceDN/>
              <w:bidi w:val="0"/>
              <w:adjustRightInd w:val="0"/>
              <w:snapToGrid w:val="0"/>
              <w:spacing w:beforeAutospacing="0" w:after="0" w:afterAutospacing="0" w:line="360" w:lineRule="auto"/>
              <w:ind w:firstLine="480" w:firstLineChars="200"/>
              <w:jc w:val="center"/>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6</w:t>
            </w:r>
            <w:r>
              <w:rPr>
                <w:rFonts w:hint="eastAsia" w:asciiTheme="minorEastAsia" w:hAnsiTheme="minorEastAsia" w:eastAsiaTheme="minorEastAsia" w:cstheme="minorEastAsia"/>
                <w:color w:val="auto"/>
                <w:sz w:val="24"/>
                <w:szCs w:val="24"/>
                <w:highlight w:val="none"/>
                <w:lang w:eastAsia="zh-CN"/>
              </w:rPr>
              <w:t>mL</w:t>
            </w:r>
          </w:p>
        </w:tc>
      </w:tr>
      <w:tr w14:paraId="1F7BAF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8" w:hRule="atLeast"/>
        </w:trPr>
        <w:tc>
          <w:tcPr>
            <w:tcW w:w="3365" w:type="dxa"/>
            <w:vAlign w:val="center"/>
          </w:tcPr>
          <w:p w14:paraId="14D2F875">
            <w:pPr>
              <w:keepNext w:val="0"/>
              <w:keepLines w:val="0"/>
              <w:pageBreakBefore w:val="0"/>
              <w:widowControl/>
              <w:kinsoku/>
              <w:wordWrap/>
              <w:overflowPunct/>
              <w:topLinePunct w:val="0"/>
              <w:autoSpaceDE/>
              <w:autoSpaceDN/>
              <w:bidi w:val="0"/>
              <w:adjustRightInd w:val="0"/>
              <w:snapToGrid w:val="0"/>
              <w:spacing w:beforeAutospacing="0" w:after="0" w:afterAutospacing="0" w:line="360" w:lineRule="auto"/>
              <w:ind w:firstLine="480" w:firstLineChars="200"/>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20×浓缩洗涤液</w:t>
            </w:r>
          </w:p>
        </w:tc>
        <w:tc>
          <w:tcPr>
            <w:tcW w:w="2927" w:type="dxa"/>
            <w:vAlign w:val="center"/>
          </w:tcPr>
          <w:p w14:paraId="071E62D6">
            <w:pPr>
              <w:keepNext w:val="0"/>
              <w:keepLines w:val="0"/>
              <w:pageBreakBefore w:val="0"/>
              <w:widowControl/>
              <w:kinsoku/>
              <w:wordWrap/>
              <w:overflowPunct/>
              <w:topLinePunct w:val="0"/>
              <w:autoSpaceDE/>
              <w:autoSpaceDN/>
              <w:bidi w:val="0"/>
              <w:adjustRightInd w:val="0"/>
              <w:snapToGrid w:val="0"/>
              <w:spacing w:beforeAutospacing="0" w:after="0" w:afterAutospacing="0" w:line="360" w:lineRule="auto"/>
              <w:ind w:firstLine="480" w:firstLineChars="200"/>
              <w:jc w:val="center"/>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10</w:t>
            </w:r>
            <w:r>
              <w:rPr>
                <w:rFonts w:hint="eastAsia" w:asciiTheme="minorEastAsia" w:hAnsiTheme="minorEastAsia" w:eastAsiaTheme="minorEastAsia" w:cstheme="minorEastAsia"/>
                <w:color w:val="auto"/>
                <w:sz w:val="24"/>
                <w:szCs w:val="24"/>
                <w:highlight w:val="none"/>
                <w:lang w:eastAsia="zh-CN"/>
              </w:rPr>
              <w:t>mL</w:t>
            </w:r>
          </w:p>
        </w:tc>
        <w:tc>
          <w:tcPr>
            <w:tcW w:w="2827" w:type="dxa"/>
            <w:vAlign w:val="center"/>
          </w:tcPr>
          <w:p w14:paraId="263C9BA7">
            <w:pPr>
              <w:keepNext w:val="0"/>
              <w:keepLines w:val="0"/>
              <w:pageBreakBefore w:val="0"/>
              <w:widowControl/>
              <w:kinsoku/>
              <w:wordWrap/>
              <w:overflowPunct/>
              <w:topLinePunct w:val="0"/>
              <w:autoSpaceDE/>
              <w:autoSpaceDN/>
              <w:bidi w:val="0"/>
              <w:adjustRightInd w:val="0"/>
              <w:snapToGrid w:val="0"/>
              <w:spacing w:beforeAutospacing="0" w:after="0" w:afterAutospacing="0" w:line="360" w:lineRule="auto"/>
              <w:ind w:firstLine="480" w:firstLineChars="200"/>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10</w:t>
            </w:r>
            <w:r>
              <w:rPr>
                <w:rFonts w:hint="eastAsia" w:asciiTheme="minorEastAsia" w:hAnsiTheme="minorEastAsia" w:eastAsiaTheme="minorEastAsia" w:cstheme="minorEastAsia"/>
                <w:color w:val="auto"/>
                <w:sz w:val="24"/>
                <w:szCs w:val="24"/>
                <w:highlight w:val="none"/>
                <w:lang w:eastAsia="zh-CN"/>
              </w:rPr>
              <w:t>mL</w:t>
            </w:r>
            <w:r>
              <w:rPr>
                <w:rFonts w:hint="eastAsia" w:asciiTheme="minorEastAsia" w:hAnsiTheme="minorEastAsia" w:eastAsiaTheme="minorEastAsia" w:cstheme="minorEastAsia"/>
                <w:color w:val="auto"/>
                <w:sz w:val="24"/>
                <w:szCs w:val="24"/>
                <w:highlight w:val="none"/>
              </w:rPr>
              <w:t>×2</w:t>
            </w:r>
          </w:p>
        </w:tc>
      </w:tr>
      <w:tr w14:paraId="53909D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8" w:hRule="atLeast"/>
        </w:trPr>
        <w:tc>
          <w:tcPr>
            <w:tcW w:w="3365" w:type="dxa"/>
            <w:vAlign w:val="center"/>
          </w:tcPr>
          <w:p w14:paraId="444631D7">
            <w:pPr>
              <w:keepNext w:val="0"/>
              <w:keepLines w:val="0"/>
              <w:pageBreakBefore w:val="0"/>
              <w:widowControl/>
              <w:kinsoku/>
              <w:wordWrap/>
              <w:overflowPunct/>
              <w:topLinePunct w:val="0"/>
              <w:autoSpaceDE/>
              <w:autoSpaceDN/>
              <w:bidi w:val="0"/>
              <w:adjustRightInd w:val="0"/>
              <w:snapToGrid w:val="0"/>
              <w:spacing w:beforeAutospacing="0" w:after="0" w:afterAutospacing="0" w:line="360" w:lineRule="auto"/>
              <w:ind w:firstLine="480" w:firstLineChars="200"/>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封板胶纸</w:t>
            </w:r>
          </w:p>
        </w:tc>
        <w:tc>
          <w:tcPr>
            <w:tcW w:w="2927" w:type="dxa"/>
            <w:vAlign w:val="center"/>
          </w:tcPr>
          <w:p w14:paraId="6252E6EB">
            <w:pPr>
              <w:keepNext w:val="0"/>
              <w:keepLines w:val="0"/>
              <w:pageBreakBefore w:val="0"/>
              <w:widowControl/>
              <w:kinsoku/>
              <w:wordWrap/>
              <w:overflowPunct/>
              <w:topLinePunct w:val="0"/>
              <w:autoSpaceDE/>
              <w:autoSpaceDN/>
              <w:bidi w:val="0"/>
              <w:adjustRightInd w:val="0"/>
              <w:snapToGrid w:val="0"/>
              <w:spacing w:beforeAutospacing="0" w:after="0" w:afterAutospacing="0" w:line="360" w:lineRule="auto"/>
              <w:ind w:firstLine="480" w:firstLineChars="200"/>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2张</w:t>
            </w:r>
          </w:p>
        </w:tc>
        <w:tc>
          <w:tcPr>
            <w:tcW w:w="2827" w:type="dxa"/>
            <w:vAlign w:val="center"/>
          </w:tcPr>
          <w:p w14:paraId="7E496741">
            <w:pPr>
              <w:keepNext w:val="0"/>
              <w:keepLines w:val="0"/>
              <w:pageBreakBefore w:val="0"/>
              <w:widowControl/>
              <w:kinsoku/>
              <w:wordWrap/>
              <w:overflowPunct/>
              <w:topLinePunct w:val="0"/>
              <w:autoSpaceDE/>
              <w:autoSpaceDN/>
              <w:bidi w:val="0"/>
              <w:adjustRightInd w:val="0"/>
              <w:snapToGrid w:val="0"/>
              <w:spacing w:beforeAutospacing="0" w:after="0" w:afterAutospacing="0" w:line="360" w:lineRule="auto"/>
              <w:ind w:firstLine="480" w:firstLineChars="200"/>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4张</w:t>
            </w:r>
          </w:p>
        </w:tc>
      </w:tr>
      <w:tr w14:paraId="1712FC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7" w:hRule="atLeast"/>
        </w:trPr>
        <w:tc>
          <w:tcPr>
            <w:tcW w:w="3365" w:type="dxa"/>
            <w:tcBorders>
              <w:bottom w:val="single" w:color="auto" w:sz="4" w:space="0"/>
            </w:tcBorders>
            <w:vAlign w:val="center"/>
          </w:tcPr>
          <w:p w14:paraId="3AA00D75">
            <w:pPr>
              <w:keepNext w:val="0"/>
              <w:keepLines w:val="0"/>
              <w:pageBreakBefore w:val="0"/>
              <w:widowControl/>
              <w:kinsoku/>
              <w:wordWrap/>
              <w:overflowPunct/>
              <w:topLinePunct w:val="0"/>
              <w:autoSpaceDE/>
              <w:autoSpaceDN/>
              <w:bidi w:val="0"/>
              <w:adjustRightInd w:val="0"/>
              <w:snapToGrid w:val="0"/>
              <w:spacing w:beforeAutospacing="0" w:after="0" w:afterAutospacing="0" w:line="360" w:lineRule="auto"/>
              <w:ind w:firstLine="480" w:firstLineChars="200"/>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产品说明书</w:t>
            </w:r>
          </w:p>
        </w:tc>
        <w:tc>
          <w:tcPr>
            <w:tcW w:w="2927" w:type="dxa"/>
            <w:tcBorders>
              <w:bottom w:val="single" w:color="auto" w:sz="4" w:space="0"/>
            </w:tcBorders>
            <w:vAlign w:val="center"/>
          </w:tcPr>
          <w:p w14:paraId="74A35277">
            <w:pPr>
              <w:keepNext w:val="0"/>
              <w:keepLines w:val="0"/>
              <w:pageBreakBefore w:val="0"/>
              <w:widowControl/>
              <w:kinsoku/>
              <w:wordWrap/>
              <w:overflowPunct/>
              <w:topLinePunct w:val="0"/>
              <w:autoSpaceDE/>
              <w:autoSpaceDN/>
              <w:bidi w:val="0"/>
              <w:adjustRightInd w:val="0"/>
              <w:snapToGrid w:val="0"/>
              <w:spacing w:beforeAutospacing="0" w:after="0" w:afterAutospacing="0" w:line="360" w:lineRule="auto"/>
              <w:ind w:firstLine="480" w:firstLineChars="200"/>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1份</w:t>
            </w:r>
          </w:p>
        </w:tc>
        <w:tc>
          <w:tcPr>
            <w:tcW w:w="2827" w:type="dxa"/>
            <w:tcBorders>
              <w:bottom w:val="single" w:color="auto" w:sz="4" w:space="0"/>
            </w:tcBorders>
            <w:vAlign w:val="center"/>
          </w:tcPr>
          <w:p w14:paraId="642090AE">
            <w:pPr>
              <w:keepNext w:val="0"/>
              <w:keepLines w:val="0"/>
              <w:pageBreakBefore w:val="0"/>
              <w:widowControl/>
              <w:kinsoku/>
              <w:wordWrap/>
              <w:overflowPunct/>
              <w:topLinePunct w:val="0"/>
              <w:autoSpaceDE/>
              <w:autoSpaceDN/>
              <w:bidi w:val="0"/>
              <w:adjustRightInd w:val="0"/>
              <w:snapToGrid w:val="0"/>
              <w:spacing w:beforeAutospacing="0" w:after="0" w:afterAutospacing="0" w:line="360" w:lineRule="auto"/>
              <w:ind w:firstLine="480" w:firstLineChars="200"/>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1份</w:t>
            </w:r>
          </w:p>
        </w:tc>
      </w:tr>
    </w:tbl>
    <w:p w14:paraId="3C73D0BA">
      <w:pPr>
        <w:keepNext w:val="0"/>
        <w:keepLines w:val="0"/>
        <w:pageBreakBefore w:val="0"/>
        <w:widowControl/>
        <w:numPr>
          <w:ilvl w:val="0"/>
          <w:numId w:val="0"/>
        </w:numPr>
        <w:kinsoku/>
        <w:wordWrap/>
        <w:overflowPunct/>
        <w:topLinePunct w:val="0"/>
        <w:autoSpaceDE/>
        <w:autoSpaceDN/>
        <w:bidi w:val="0"/>
        <w:adjustRightInd w:val="0"/>
        <w:snapToGrid w:val="0"/>
        <w:spacing w:before="100" w:beforeAutospacing="1" w:after="0" w:afterAutospacing="0" w:line="240" w:lineRule="auto"/>
        <w:textAlignment w:val="auto"/>
        <w:rPr>
          <w:rFonts w:hint="default" w:ascii="宋体" w:hAnsi="宋体" w:eastAsia="宋体" w:cs="宋体"/>
          <w:b/>
          <w:bCs/>
          <w:color w:val="auto"/>
          <w:sz w:val="28"/>
          <w:szCs w:val="28"/>
          <w:highlight w:val="none"/>
          <w:lang w:val="en-US" w:eastAsia="zh-CN"/>
        </w:rPr>
      </w:pPr>
    </w:p>
    <w:p w14:paraId="5B0DED54">
      <w:pPr>
        <w:keepNext w:val="0"/>
        <w:keepLines w:val="0"/>
        <w:pageBreakBefore w:val="0"/>
        <w:widowControl/>
        <w:numPr>
          <w:ilvl w:val="0"/>
          <w:numId w:val="1"/>
        </w:numPr>
        <w:kinsoku/>
        <w:wordWrap/>
        <w:overflowPunct/>
        <w:topLinePunct w:val="0"/>
        <w:autoSpaceDE/>
        <w:autoSpaceDN/>
        <w:bidi w:val="0"/>
        <w:adjustRightInd w:val="0"/>
        <w:snapToGrid w:val="0"/>
        <w:spacing w:beforeAutospacing="0" w:after="0" w:afterAutospacing="0" w:line="360" w:lineRule="auto"/>
        <w:textAlignment w:val="auto"/>
        <w:rPr>
          <w:rFonts w:hint="default" w:ascii="宋体" w:hAnsi="宋体" w:eastAsia="宋体" w:cs="宋体"/>
          <w:b/>
          <w:bCs/>
          <w:color w:val="auto"/>
          <w:sz w:val="28"/>
          <w:szCs w:val="28"/>
          <w:highlight w:val="none"/>
          <w:lang w:val="en-US" w:eastAsia="zh-CN"/>
        </w:rPr>
      </w:pPr>
      <w:r>
        <w:rPr>
          <w:rFonts w:hint="eastAsia"/>
        </w:rPr>
        <w:drawing>
          <wp:anchor distT="0" distB="0" distL="114300" distR="114300" simplePos="0" relativeHeight="251665408" behindDoc="1" locked="0" layoutInCell="1" allowOverlap="1">
            <wp:simplePos x="0" y="0"/>
            <wp:positionH relativeFrom="column">
              <wp:posOffset>-335280</wp:posOffset>
            </wp:positionH>
            <wp:positionV relativeFrom="page">
              <wp:posOffset>955675</wp:posOffset>
            </wp:positionV>
            <wp:extent cx="6737985" cy="8682355"/>
            <wp:effectExtent l="0" t="0" r="13335" b="4445"/>
            <wp:wrapNone/>
            <wp:docPr id="7" name="图片 7" descr="底纹-0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底纹-01-01"/>
                    <pic:cNvPicPr>
                      <a:picLocks noChangeAspect="1"/>
                    </pic:cNvPicPr>
                  </pic:nvPicPr>
                  <pic:blipFill>
                    <a:blip r:embed="rId7"/>
                    <a:stretch>
                      <a:fillRect/>
                    </a:stretch>
                  </pic:blipFill>
                  <pic:spPr>
                    <a:xfrm>
                      <a:off x="0" y="0"/>
                      <a:ext cx="6737985" cy="8682355"/>
                    </a:xfrm>
                    <a:prstGeom prst="rect">
                      <a:avLst/>
                    </a:prstGeom>
                  </pic:spPr>
                </pic:pic>
              </a:graphicData>
            </a:graphic>
          </wp:anchor>
        </w:drawing>
      </w:r>
      <w:r>
        <w:rPr>
          <w:rFonts w:hint="eastAsia" w:ascii="宋体" w:hAnsi="宋体" w:eastAsia="宋体" w:cs="宋体"/>
          <w:b/>
          <w:bCs/>
          <w:color w:val="auto"/>
          <w:sz w:val="28"/>
          <w:szCs w:val="28"/>
          <w:highlight w:val="none"/>
          <w:lang w:val="en-US" w:eastAsia="zh-CN"/>
        </w:rPr>
        <w:t>保存：</w:t>
      </w:r>
    </w:p>
    <w:p w14:paraId="1BFE2534">
      <w:pPr>
        <w:keepNext w:val="0"/>
        <w:keepLines w:val="0"/>
        <w:pageBreakBefore w:val="0"/>
        <w:widowControl/>
        <w:kinsoku/>
        <w:wordWrap/>
        <w:overflowPunct/>
        <w:topLinePunct w:val="0"/>
        <w:autoSpaceDE/>
        <w:autoSpaceDN/>
        <w:bidi w:val="0"/>
        <w:adjustRightInd w:val="0"/>
        <w:snapToGrid w:val="0"/>
        <w:spacing w:beforeAutospacing="0" w:after="0" w:afterAutospacing="0" w:line="360" w:lineRule="auto"/>
        <w:ind w:firstLine="480" w:firstLineChars="200"/>
        <w:textAlignment w:val="auto"/>
        <w:rPr>
          <w:rFonts w:hint="default" w:asciiTheme="minorEastAsia" w:hAnsiTheme="minorEastAsia" w:eastAsiaTheme="minorEastAsia" w:cstheme="minorEastAsia"/>
          <w:color w:val="auto"/>
          <w:sz w:val="24"/>
          <w:szCs w:val="24"/>
          <w:highlight w:val="none"/>
          <w:lang w:val="en-US" w:eastAsia="zh-CN"/>
        </w:rPr>
      </w:pPr>
      <w:r>
        <w:rPr>
          <w:rFonts w:hint="default" w:asciiTheme="minorEastAsia" w:hAnsiTheme="minorEastAsia" w:eastAsiaTheme="minorEastAsia" w:cstheme="minorEastAsia"/>
          <w:color w:val="auto"/>
          <w:sz w:val="24"/>
          <w:szCs w:val="24"/>
          <w:highlight w:val="none"/>
          <w:lang w:val="en-US" w:eastAsia="zh-CN"/>
        </w:rPr>
        <w:t>本试剂盒应于 2-8℃保存，有效期 6 个月</w:t>
      </w:r>
    </w:p>
    <w:p w14:paraId="4651017A">
      <w:pPr>
        <w:keepNext w:val="0"/>
        <w:keepLines w:val="0"/>
        <w:pageBreakBefore w:val="0"/>
        <w:widowControl/>
        <w:numPr>
          <w:ilvl w:val="0"/>
          <w:numId w:val="0"/>
        </w:numPr>
        <w:kinsoku/>
        <w:wordWrap/>
        <w:overflowPunct/>
        <w:topLinePunct w:val="0"/>
        <w:autoSpaceDE/>
        <w:autoSpaceDN/>
        <w:bidi w:val="0"/>
        <w:adjustRightInd w:val="0"/>
        <w:snapToGrid w:val="0"/>
        <w:spacing w:beforeAutospacing="0" w:after="0" w:afterAutospacing="0" w:line="360" w:lineRule="auto"/>
        <w:textAlignment w:val="auto"/>
        <w:rPr>
          <w:rFonts w:hint="default" w:ascii="宋体" w:hAnsi="宋体" w:eastAsia="宋体" w:cs="宋体"/>
          <w:b/>
          <w:bCs/>
          <w:color w:val="auto"/>
          <w:sz w:val="24"/>
          <w:szCs w:val="24"/>
          <w:highlight w:val="none"/>
          <w:lang w:val="en-US" w:eastAsia="zh-CN"/>
        </w:rPr>
      </w:pPr>
    </w:p>
    <w:p w14:paraId="7235792B">
      <w:pPr>
        <w:keepNext w:val="0"/>
        <w:keepLines w:val="0"/>
        <w:pageBreakBefore w:val="0"/>
        <w:widowControl/>
        <w:kinsoku/>
        <w:wordWrap/>
        <w:overflowPunct/>
        <w:topLinePunct w:val="0"/>
        <w:autoSpaceDE/>
        <w:autoSpaceDN/>
        <w:bidi w:val="0"/>
        <w:adjustRightInd w:val="0"/>
        <w:snapToGrid w:val="0"/>
        <w:spacing w:beforeAutospacing="0" w:after="0" w:afterAutospacing="0" w:line="360" w:lineRule="auto"/>
        <w:textAlignment w:val="auto"/>
        <w:rPr>
          <w:rFonts w:hint="eastAsia" w:ascii="宋体" w:hAnsi="宋体" w:eastAsia="宋体" w:cs="宋体"/>
          <w:b/>
          <w:bCs/>
          <w:color w:val="auto"/>
          <w:sz w:val="30"/>
          <w:szCs w:val="30"/>
          <w:highlight w:val="none"/>
          <w:lang w:eastAsia="zh-CN"/>
        </w:rPr>
      </w:pPr>
      <w:r>
        <w:rPr>
          <w:rFonts w:hint="eastAsia" w:ascii="宋体" w:hAnsi="宋体" w:eastAsia="宋体" w:cs="宋体"/>
          <w:b/>
          <w:bCs/>
          <w:color w:val="auto"/>
          <w:sz w:val="28"/>
          <w:szCs w:val="28"/>
          <w:highlight w:val="none"/>
          <w:lang w:val="en-US" w:eastAsia="zh-CN"/>
        </w:rPr>
        <w:t>4、</w:t>
      </w:r>
      <w:r>
        <w:rPr>
          <w:rFonts w:hint="eastAsia" w:ascii="宋体" w:hAnsi="宋体" w:eastAsia="宋体" w:cs="宋体"/>
          <w:b/>
          <w:bCs/>
          <w:color w:val="auto"/>
          <w:sz w:val="28"/>
          <w:szCs w:val="28"/>
          <w:highlight w:val="none"/>
        </w:rPr>
        <w:t>实验所需自备试验器材</w:t>
      </w:r>
      <w:r>
        <w:rPr>
          <w:rFonts w:hint="eastAsia" w:ascii="宋体" w:hAnsi="宋体" w:eastAsia="宋体" w:cs="宋体"/>
          <w:b/>
          <w:bCs/>
          <w:color w:val="auto"/>
          <w:sz w:val="28"/>
          <w:szCs w:val="28"/>
          <w:highlight w:val="none"/>
          <w:lang w:eastAsia="zh-CN"/>
        </w:rPr>
        <w:t>：</w:t>
      </w:r>
    </w:p>
    <w:p w14:paraId="0140A200">
      <w:pPr>
        <w:keepNext w:val="0"/>
        <w:keepLines w:val="0"/>
        <w:pageBreakBefore w:val="0"/>
        <w:widowControl/>
        <w:kinsoku/>
        <w:wordWrap/>
        <w:overflowPunct/>
        <w:topLinePunct w:val="0"/>
        <w:autoSpaceDE/>
        <w:autoSpaceDN/>
        <w:bidi w:val="0"/>
        <w:adjustRightInd w:val="0"/>
        <w:snapToGrid w:val="0"/>
        <w:spacing w:beforeAutospacing="0" w:after="0" w:afterAutospacing="0" w:line="360" w:lineRule="auto"/>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4.1 酶标仪（可测量450nm检测波长的吸收值）</w:t>
      </w:r>
    </w:p>
    <w:p w14:paraId="35FEDDBD">
      <w:pPr>
        <w:keepNext w:val="0"/>
        <w:keepLines w:val="0"/>
        <w:pageBreakBefore w:val="0"/>
        <w:widowControl/>
        <w:kinsoku/>
        <w:wordWrap/>
        <w:overflowPunct/>
        <w:topLinePunct w:val="0"/>
        <w:autoSpaceDE/>
        <w:autoSpaceDN/>
        <w:bidi w:val="0"/>
        <w:adjustRightInd w:val="0"/>
        <w:snapToGrid w:val="0"/>
        <w:spacing w:beforeAutospacing="0" w:after="0" w:afterAutospacing="0" w:line="360" w:lineRule="auto"/>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4.2 高精度加液器及一次性吸头 </w:t>
      </w:r>
    </w:p>
    <w:p w14:paraId="0A4FEBED">
      <w:pPr>
        <w:keepNext w:val="0"/>
        <w:keepLines w:val="0"/>
        <w:pageBreakBefore w:val="0"/>
        <w:widowControl/>
        <w:kinsoku/>
        <w:wordWrap/>
        <w:overflowPunct/>
        <w:topLinePunct w:val="0"/>
        <w:autoSpaceDE/>
        <w:autoSpaceDN/>
        <w:bidi w:val="0"/>
        <w:adjustRightInd w:val="0"/>
        <w:snapToGrid w:val="0"/>
        <w:spacing w:beforeAutospacing="0" w:after="0" w:afterAutospacing="0" w:line="360" w:lineRule="auto"/>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4.3 蒸馏水或去离子水</w:t>
      </w:r>
    </w:p>
    <w:p w14:paraId="0BCA8151">
      <w:pPr>
        <w:keepNext w:val="0"/>
        <w:keepLines w:val="0"/>
        <w:pageBreakBefore w:val="0"/>
        <w:widowControl/>
        <w:kinsoku/>
        <w:wordWrap/>
        <w:overflowPunct/>
        <w:topLinePunct w:val="0"/>
        <w:autoSpaceDE/>
        <w:autoSpaceDN/>
        <w:bidi w:val="0"/>
        <w:adjustRightInd w:val="0"/>
        <w:snapToGrid w:val="0"/>
        <w:spacing w:beforeAutospacing="0" w:after="0" w:afterAutospacing="0" w:line="360" w:lineRule="auto"/>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4.4 37℃恒温箱</w:t>
      </w:r>
    </w:p>
    <w:p w14:paraId="3FE15371">
      <w:pPr>
        <w:keepNext w:val="0"/>
        <w:keepLines w:val="0"/>
        <w:pageBreakBefore w:val="0"/>
        <w:widowControl/>
        <w:kinsoku/>
        <w:wordWrap/>
        <w:overflowPunct/>
        <w:topLinePunct w:val="0"/>
        <w:autoSpaceDE/>
        <w:autoSpaceDN/>
        <w:bidi w:val="0"/>
        <w:adjustRightInd w:val="0"/>
        <w:snapToGrid w:val="0"/>
        <w:spacing w:beforeAutospacing="0" w:after="0" w:afterAutospacing="0" w:line="360" w:lineRule="auto"/>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4.5 多通道洗板器或自动洗板机</w:t>
      </w:r>
    </w:p>
    <w:p w14:paraId="40EC1C22">
      <w:pPr>
        <w:keepNext w:val="0"/>
        <w:keepLines w:val="0"/>
        <w:pageBreakBefore w:val="0"/>
        <w:widowControl/>
        <w:numPr>
          <w:ilvl w:val="0"/>
          <w:numId w:val="0"/>
        </w:numPr>
        <w:kinsoku/>
        <w:wordWrap/>
        <w:overflowPunct/>
        <w:topLinePunct w:val="0"/>
        <w:autoSpaceDE/>
        <w:autoSpaceDN/>
        <w:bidi w:val="0"/>
        <w:adjustRightInd w:val="0"/>
        <w:snapToGrid w:val="0"/>
        <w:spacing w:beforeAutospacing="0" w:after="0" w:afterAutospacing="0" w:line="360" w:lineRule="auto"/>
        <w:textAlignment w:val="auto"/>
        <w:rPr>
          <w:rFonts w:hint="eastAsia" w:ascii="宋体" w:hAnsi="宋体" w:eastAsia="宋体" w:cs="宋体"/>
          <w:color w:val="auto"/>
          <w:sz w:val="24"/>
          <w:szCs w:val="24"/>
          <w:highlight w:val="none"/>
        </w:rPr>
      </w:pPr>
    </w:p>
    <w:p w14:paraId="5CF957FB">
      <w:pPr>
        <w:keepNext w:val="0"/>
        <w:keepLines w:val="0"/>
        <w:pageBreakBefore w:val="0"/>
        <w:widowControl/>
        <w:kinsoku/>
        <w:wordWrap/>
        <w:overflowPunct/>
        <w:topLinePunct w:val="0"/>
        <w:autoSpaceDE/>
        <w:autoSpaceDN/>
        <w:bidi w:val="0"/>
        <w:adjustRightInd w:val="0"/>
        <w:snapToGrid w:val="0"/>
        <w:spacing w:beforeAutospacing="0" w:after="0" w:afterAutospacing="0" w:line="360" w:lineRule="auto"/>
        <w:jc w:val="left"/>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5、</w:t>
      </w:r>
      <w:r>
        <w:rPr>
          <w:rFonts w:hint="eastAsia" w:ascii="宋体" w:hAnsi="宋体" w:eastAsia="宋体" w:cs="宋体"/>
          <w:b/>
          <w:bCs/>
          <w:color w:val="auto"/>
          <w:sz w:val="28"/>
          <w:szCs w:val="28"/>
          <w:highlight w:val="none"/>
          <w:lang w:eastAsia="zh-CN"/>
        </w:rPr>
        <w:t>样品</w:t>
      </w:r>
      <w:r>
        <w:rPr>
          <w:rFonts w:hint="eastAsia" w:ascii="宋体" w:hAnsi="宋体" w:eastAsia="宋体" w:cs="宋体"/>
          <w:b/>
          <w:bCs/>
          <w:color w:val="auto"/>
          <w:sz w:val="28"/>
          <w:szCs w:val="28"/>
          <w:highlight w:val="none"/>
        </w:rPr>
        <w:t>稀释方案</w:t>
      </w:r>
      <w:r>
        <w:rPr>
          <w:rFonts w:hint="eastAsia" w:ascii="宋体" w:hAnsi="宋体" w:eastAsia="宋体" w:cs="宋体"/>
          <w:b/>
          <w:bCs/>
          <w:color w:val="auto"/>
          <w:sz w:val="28"/>
          <w:szCs w:val="28"/>
          <w:highlight w:val="none"/>
          <w:lang w:val="en-US" w:eastAsia="zh-CN"/>
        </w:rPr>
        <w:t>：</w:t>
      </w:r>
    </w:p>
    <w:p w14:paraId="76E0CC2F">
      <w:pPr>
        <w:keepNext w:val="0"/>
        <w:keepLines w:val="0"/>
        <w:pageBreakBefore w:val="0"/>
        <w:widowControl/>
        <w:kinsoku/>
        <w:wordWrap/>
        <w:overflowPunct/>
        <w:topLinePunct w:val="0"/>
        <w:autoSpaceDE/>
        <w:autoSpaceDN/>
        <w:bidi w:val="0"/>
        <w:adjustRightInd w:val="0"/>
        <w:snapToGrid w:val="0"/>
        <w:spacing w:beforeAutospacing="0" w:after="0" w:afterAutospacing="0" w:line="360" w:lineRule="auto"/>
        <w:ind w:firstLine="480" w:firstLineChars="200"/>
        <w:textAlignment w:val="auto"/>
        <w:rPr>
          <w:rFonts w:ascii="宋体" w:hAnsi="宋体" w:eastAsia="宋体" w:cs="宋体"/>
          <w:color w:val="auto"/>
          <w:sz w:val="24"/>
          <w:szCs w:val="24"/>
          <w:highlight w:val="none"/>
        </w:rPr>
      </w:pPr>
      <w:r>
        <w:rPr>
          <w:rFonts w:ascii="宋体" w:hAnsi="宋体" w:eastAsia="宋体" w:cs="宋体"/>
          <w:color w:val="auto"/>
          <w:sz w:val="24"/>
          <w:szCs w:val="24"/>
          <w:highlight w:val="none"/>
        </w:rPr>
        <w:t>由于</w:t>
      </w:r>
      <w:r>
        <w:rPr>
          <w:rFonts w:hint="eastAsia" w:ascii="宋体" w:hAnsi="宋体" w:eastAsia="宋体" w:cs="宋体"/>
          <w:color w:val="auto"/>
          <w:sz w:val="24"/>
          <w:szCs w:val="24"/>
          <w:highlight w:val="none"/>
          <w:lang w:eastAsia="zh-CN"/>
        </w:rPr>
        <w:t>样品</w:t>
      </w:r>
      <w:r>
        <w:rPr>
          <w:rFonts w:ascii="宋体" w:hAnsi="宋体" w:eastAsia="宋体" w:cs="宋体"/>
          <w:color w:val="auto"/>
          <w:sz w:val="24"/>
          <w:szCs w:val="24"/>
          <w:highlight w:val="none"/>
        </w:rPr>
        <w:t>存在个体差异，请提前预估</w:t>
      </w:r>
      <w:r>
        <w:rPr>
          <w:rFonts w:hint="eastAsia" w:ascii="宋体" w:hAnsi="宋体" w:eastAsia="宋体" w:cs="宋体"/>
          <w:color w:val="auto"/>
          <w:sz w:val="24"/>
          <w:szCs w:val="24"/>
          <w:highlight w:val="none"/>
          <w:lang w:eastAsia="zh-CN"/>
        </w:rPr>
        <w:t>样品</w:t>
      </w:r>
      <w:r>
        <w:rPr>
          <w:rFonts w:ascii="宋体" w:hAnsi="宋体" w:eastAsia="宋体" w:cs="宋体"/>
          <w:color w:val="auto"/>
          <w:sz w:val="24"/>
          <w:szCs w:val="24"/>
          <w:highlight w:val="none"/>
        </w:rPr>
        <w:t>的浓度范围，并通过预实验确定待检</w:t>
      </w:r>
      <w:r>
        <w:rPr>
          <w:rFonts w:hint="eastAsia" w:ascii="宋体" w:hAnsi="宋体" w:eastAsia="宋体" w:cs="宋体"/>
          <w:color w:val="auto"/>
          <w:sz w:val="24"/>
          <w:szCs w:val="24"/>
          <w:highlight w:val="none"/>
          <w:lang w:eastAsia="zh-CN"/>
        </w:rPr>
        <w:t>样品</w:t>
      </w:r>
      <w:r>
        <w:rPr>
          <w:rFonts w:ascii="宋体" w:hAnsi="宋体" w:eastAsia="宋体" w:cs="宋体"/>
          <w:color w:val="auto"/>
          <w:sz w:val="24"/>
          <w:szCs w:val="24"/>
          <w:highlight w:val="none"/>
        </w:rPr>
        <w:t>的稀释倍数。如果您的</w:t>
      </w:r>
      <w:r>
        <w:rPr>
          <w:rFonts w:hint="eastAsia" w:ascii="宋体" w:hAnsi="宋体" w:eastAsia="宋体" w:cs="宋体"/>
          <w:color w:val="auto"/>
          <w:sz w:val="24"/>
          <w:szCs w:val="24"/>
          <w:highlight w:val="none"/>
          <w:lang w:eastAsia="zh-CN"/>
        </w:rPr>
        <w:t>样品</w:t>
      </w:r>
      <w:r>
        <w:rPr>
          <w:rFonts w:ascii="宋体" w:hAnsi="宋体" w:eastAsia="宋体" w:cs="宋体"/>
          <w:color w:val="auto"/>
          <w:sz w:val="24"/>
          <w:szCs w:val="24"/>
          <w:highlight w:val="none"/>
        </w:rPr>
        <w:t>需要稀释，通用稀释方案参考如下：</w:t>
      </w:r>
    </w:p>
    <w:p w14:paraId="5DC8D114">
      <w:pPr>
        <w:keepNext w:val="0"/>
        <w:keepLines w:val="0"/>
        <w:pageBreakBefore w:val="0"/>
        <w:widowControl/>
        <w:kinsoku/>
        <w:wordWrap/>
        <w:overflowPunct/>
        <w:topLinePunct w:val="0"/>
        <w:autoSpaceDE/>
        <w:autoSpaceDN/>
        <w:bidi w:val="0"/>
        <w:adjustRightInd w:val="0"/>
        <w:snapToGrid w:val="0"/>
        <w:spacing w:beforeAutospacing="0" w:after="0" w:afterAutospacing="0" w:line="360" w:lineRule="auto"/>
        <w:textAlignment w:val="auto"/>
        <w:rPr>
          <w:rFonts w:ascii="宋体" w:hAnsi="宋体" w:eastAsia="宋体" w:cs="宋体"/>
          <w:color w:val="auto"/>
          <w:sz w:val="24"/>
          <w:szCs w:val="24"/>
          <w:highlight w:val="none"/>
        </w:rPr>
      </w:pPr>
      <w:r>
        <w:rPr>
          <w:rFonts w:ascii="宋体" w:hAnsi="宋体" w:eastAsia="宋体" w:cs="宋体"/>
          <w:b/>
          <w:bCs/>
          <w:color w:val="auto"/>
          <w:sz w:val="24"/>
          <w:szCs w:val="24"/>
          <w:highlight w:val="none"/>
        </w:rPr>
        <w:t>稀释 100 倍：</w:t>
      </w:r>
      <w:r>
        <w:rPr>
          <w:rFonts w:ascii="宋体" w:hAnsi="宋体" w:eastAsia="宋体" w:cs="宋体"/>
          <w:color w:val="auto"/>
          <w:sz w:val="24"/>
          <w:szCs w:val="24"/>
          <w:highlight w:val="none"/>
        </w:rPr>
        <w:t>一步稀释。取5</w:t>
      </w:r>
      <w:r>
        <w:rPr>
          <w:rFonts w:hint="eastAsia" w:ascii="宋体" w:hAnsi="宋体" w:eastAsia="宋体" w:cs="宋体"/>
          <w:color w:val="auto"/>
          <w:sz w:val="24"/>
          <w:szCs w:val="24"/>
          <w:highlight w:val="none"/>
          <w:lang w:eastAsia="zh-CN"/>
        </w:rPr>
        <w:t>μL样品</w:t>
      </w:r>
      <w:r>
        <w:rPr>
          <w:rFonts w:ascii="宋体" w:hAnsi="宋体" w:eastAsia="宋体" w:cs="宋体"/>
          <w:color w:val="auto"/>
          <w:sz w:val="24"/>
          <w:szCs w:val="24"/>
          <w:highlight w:val="none"/>
        </w:rPr>
        <w:t>到495</w:t>
      </w:r>
      <w:r>
        <w:rPr>
          <w:rFonts w:hint="eastAsia" w:ascii="宋体" w:hAnsi="宋体" w:eastAsia="宋体" w:cs="宋体"/>
          <w:color w:val="auto"/>
          <w:sz w:val="24"/>
          <w:szCs w:val="24"/>
          <w:highlight w:val="none"/>
          <w:lang w:eastAsia="zh-CN"/>
        </w:rPr>
        <w:t>μL</w:t>
      </w:r>
      <w:r>
        <w:rPr>
          <w:rFonts w:ascii="宋体" w:hAnsi="宋体" w:eastAsia="宋体" w:cs="宋体"/>
          <w:color w:val="auto"/>
          <w:sz w:val="24"/>
          <w:szCs w:val="24"/>
          <w:highlight w:val="none"/>
        </w:rPr>
        <w:t>标准品&amp;</w:t>
      </w:r>
      <w:r>
        <w:rPr>
          <w:rFonts w:hint="eastAsia" w:ascii="宋体" w:hAnsi="宋体" w:eastAsia="宋体" w:cs="宋体"/>
          <w:color w:val="auto"/>
          <w:sz w:val="24"/>
          <w:szCs w:val="24"/>
          <w:highlight w:val="none"/>
          <w:lang w:eastAsia="zh-CN"/>
        </w:rPr>
        <w:t>样品</w:t>
      </w:r>
      <w:r>
        <w:rPr>
          <w:rFonts w:ascii="宋体" w:hAnsi="宋体" w:eastAsia="宋体" w:cs="宋体"/>
          <w:color w:val="auto"/>
          <w:sz w:val="24"/>
          <w:szCs w:val="24"/>
          <w:highlight w:val="none"/>
        </w:rPr>
        <w:t>稀释液内，做100倍稀释；</w:t>
      </w:r>
    </w:p>
    <w:p w14:paraId="0DB32657">
      <w:pPr>
        <w:keepNext w:val="0"/>
        <w:keepLines w:val="0"/>
        <w:pageBreakBefore w:val="0"/>
        <w:widowControl/>
        <w:kinsoku/>
        <w:wordWrap/>
        <w:overflowPunct/>
        <w:topLinePunct w:val="0"/>
        <w:autoSpaceDE/>
        <w:autoSpaceDN/>
        <w:bidi w:val="0"/>
        <w:adjustRightInd w:val="0"/>
        <w:snapToGrid w:val="0"/>
        <w:spacing w:beforeAutospacing="0" w:after="0" w:afterAutospacing="0" w:line="360" w:lineRule="auto"/>
        <w:textAlignment w:val="auto"/>
        <w:rPr>
          <w:rFonts w:ascii="宋体" w:hAnsi="宋体" w:eastAsia="宋体" w:cs="宋体"/>
          <w:color w:val="auto"/>
          <w:sz w:val="24"/>
          <w:szCs w:val="24"/>
          <w:highlight w:val="none"/>
        </w:rPr>
      </w:pPr>
      <w:r>
        <w:rPr>
          <w:rFonts w:ascii="宋体" w:hAnsi="宋体" w:eastAsia="宋体" w:cs="宋体"/>
          <w:b/>
          <w:bCs/>
          <w:color w:val="auto"/>
          <w:sz w:val="24"/>
          <w:szCs w:val="24"/>
          <w:highlight w:val="none"/>
        </w:rPr>
        <w:t>稀释 1000 倍：</w:t>
      </w:r>
      <w:r>
        <w:rPr>
          <w:rFonts w:ascii="宋体" w:hAnsi="宋体" w:eastAsia="宋体" w:cs="宋体"/>
          <w:color w:val="auto"/>
          <w:sz w:val="24"/>
          <w:szCs w:val="24"/>
          <w:highlight w:val="none"/>
        </w:rPr>
        <w:t>两步稀释。取5</w:t>
      </w:r>
      <w:r>
        <w:rPr>
          <w:rFonts w:hint="eastAsia" w:ascii="宋体" w:hAnsi="宋体" w:eastAsia="宋体" w:cs="宋体"/>
          <w:color w:val="auto"/>
          <w:sz w:val="24"/>
          <w:szCs w:val="24"/>
          <w:highlight w:val="none"/>
          <w:lang w:eastAsia="zh-CN"/>
        </w:rPr>
        <w:t>μL样品</w:t>
      </w:r>
      <w:r>
        <w:rPr>
          <w:rFonts w:ascii="宋体" w:hAnsi="宋体" w:eastAsia="宋体" w:cs="宋体"/>
          <w:color w:val="auto"/>
          <w:sz w:val="24"/>
          <w:szCs w:val="24"/>
          <w:highlight w:val="none"/>
        </w:rPr>
        <w:t>到95</w:t>
      </w:r>
      <w:r>
        <w:rPr>
          <w:rFonts w:hint="eastAsia" w:ascii="宋体" w:hAnsi="宋体" w:eastAsia="宋体" w:cs="宋体"/>
          <w:color w:val="auto"/>
          <w:sz w:val="24"/>
          <w:szCs w:val="24"/>
          <w:highlight w:val="none"/>
          <w:lang w:eastAsia="zh-CN"/>
        </w:rPr>
        <w:t>μL</w:t>
      </w:r>
      <w:r>
        <w:rPr>
          <w:rFonts w:ascii="宋体" w:hAnsi="宋体" w:eastAsia="宋体" w:cs="宋体"/>
          <w:color w:val="auto"/>
          <w:sz w:val="24"/>
          <w:szCs w:val="24"/>
          <w:highlight w:val="none"/>
        </w:rPr>
        <w:t>标准品&amp;</w:t>
      </w:r>
      <w:r>
        <w:rPr>
          <w:rFonts w:hint="eastAsia" w:ascii="宋体" w:hAnsi="宋体" w:eastAsia="宋体" w:cs="宋体"/>
          <w:color w:val="auto"/>
          <w:sz w:val="24"/>
          <w:szCs w:val="24"/>
          <w:highlight w:val="none"/>
          <w:lang w:eastAsia="zh-CN"/>
        </w:rPr>
        <w:t>样品</w:t>
      </w:r>
      <w:r>
        <w:rPr>
          <w:rFonts w:ascii="宋体" w:hAnsi="宋体" w:eastAsia="宋体" w:cs="宋体"/>
          <w:color w:val="auto"/>
          <w:sz w:val="24"/>
          <w:szCs w:val="24"/>
          <w:highlight w:val="none"/>
        </w:rPr>
        <w:t>稀释液内，做20倍稀释，再取5</w:t>
      </w:r>
      <w:r>
        <w:rPr>
          <w:rFonts w:hint="eastAsia" w:ascii="宋体" w:hAnsi="宋体" w:eastAsia="宋体" w:cs="宋体"/>
          <w:color w:val="auto"/>
          <w:sz w:val="24"/>
          <w:szCs w:val="24"/>
          <w:highlight w:val="none"/>
          <w:lang w:eastAsia="zh-CN"/>
        </w:rPr>
        <w:t>μL</w:t>
      </w:r>
      <w:r>
        <w:rPr>
          <w:rFonts w:ascii="宋体" w:hAnsi="宋体" w:eastAsia="宋体" w:cs="宋体"/>
          <w:color w:val="auto"/>
          <w:sz w:val="24"/>
          <w:szCs w:val="24"/>
          <w:highlight w:val="none"/>
        </w:rPr>
        <w:t xml:space="preserve"> 20倍稀释</w:t>
      </w:r>
      <w:r>
        <w:rPr>
          <w:rFonts w:hint="eastAsia" w:ascii="宋体" w:hAnsi="宋体" w:eastAsia="宋体" w:cs="宋体"/>
          <w:color w:val="auto"/>
          <w:sz w:val="24"/>
          <w:szCs w:val="24"/>
          <w:highlight w:val="none"/>
          <w:lang w:eastAsia="zh-CN"/>
        </w:rPr>
        <w:t>样品</w:t>
      </w:r>
      <w:r>
        <w:rPr>
          <w:rFonts w:ascii="宋体" w:hAnsi="宋体" w:eastAsia="宋体" w:cs="宋体"/>
          <w:color w:val="auto"/>
          <w:sz w:val="24"/>
          <w:szCs w:val="24"/>
          <w:highlight w:val="none"/>
        </w:rPr>
        <w:t>到245</w:t>
      </w:r>
      <w:r>
        <w:rPr>
          <w:rFonts w:hint="eastAsia" w:ascii="宋体" w:hAnsi="宋体" w:eastAsia="宋体" w:cs="宋体"/>
          <w:color w:val="auto"/>
          <w:sz w:val="24"/>
          <w:szCs w:val="24"/>
          <w:highlight w:val="none"/>
          <w:lang w:eastAsia="zh-CN"/>
        </w:rPr>
        <w:t>μL</w:t>
      </w:r>
      <w:r>
        <w:rPr>
          <w:rFonts w:ascii="宋体" w:hAnsi="宋体" w:eastAsia="宋体" w:cs="宋体"/>
          <w:color w:val="auto"/>
          <w:sz w:val="24"/>
          <w:szCs w:val="24"/>
          <w:highlight w:val="none"/>
        </w:rPr>
        <w:t>标准品&amp;</w:t>
      </w:r>
      <w:r>
        <w:rPr>
          <w:rFonts w:hint="eastAsia" w:ascii="宋体" w:hAnsi="宋体" w:eastAsia="宋体" w:cs="宋体"/>
          <w:color w:val="auto"/>
          <w:sz w:val="24"/>
          <w:szCs w:val="24"/>
          <w:highlight w:val="none"/>
          <w:lang w:eastAsia="zh-CN"/>
        </w:rPr>
        <w:t>样品</w:t>
      </w:r>
      <w:r>
        <w:rPr>
          <w:rFonts w:ascii="宋体" w:hAnsi="宋体" w:eastAsia="宋体" w:cs="宋体"/>
          <w:color w:val="auto"/>
          <w:sz w:val="24"/>
          <w:szCs w:val="24"/>
          <w:highlight w:val="none"/>
        </w:rPr>
        <w:t>稀释液内，做50倍稀释，总共稀释1000倍；</w:t>
      </w:r>
    </w:p>
    <w:p w14:paraId="18E123E7">
      <w:pPr>
        <w:keepNext w:val="0"/>
        <w:keepLines w:val="0"/>
        <w:pageBreakBefore w:val="0"/>
        <w:widowControl/>
        <w:kinsoku/>
        <w:wordWrap/>
        <w:overflowPunct/>
        <w:topLinePunct w:val="0"/>
        <w:autoSpaceDE/>
        <w:autoSpaceDN/>
        <w:bidi w:val="0"/>
        <w:adjustRightInd w:val="0"/>
        <w:snapToGrid w:val="0"/>
        <w:spacing w:beforeAutospacing="0" w:after="0" w:afterAutospacing="0" w:line="360" w:lineRule="auto"/>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每步稀释时取液量不少于3</w:t>
      </w:r>
      <w:r>
        <w:rPr>
          <w:rFonts w:hint="eastAsia" w:ascii="宋体" w:hAnsi="宋体" w:eastAsia="宋体" w:cs="宋体"/>
          <w:color w:val="auto"/>
          <w:sz w:val="24"/>
          <w:szCs w:val="24"/>
          <w:highlight w:val="none"/>
          <w:lang w:eastAsia="zh-CN"/>
        </w:rPr>
        <w:t>μL</w:t>
      </w:r>
      <w:r>
        <w:rPr>
          <w:rFonts w:ascii="宋体" w:hAnsi="宋体" w:eastAsia="宋体" w:cs="宋体"/>
          <w:color w:val="auto"/>
          <w:sz w:val="24"/>
          <w:szCs w:val="24"/>
          <w:highlight w:val="none"/>
        </w:rPr>
        <w:t>，稀释倍数不超过100倍。每步稀释都需混合均匀，避免起泡。</w:t>
      </w:r>
    </w:p>
    <w:p w14:paraId="6D41432F">
      <w:pPr>
        <w:keepNext w:val="0"/>
        <w:keepLines w:val="0"/>
        <w:pageBreakBefore w:val="0"/>
        <w:widowControl/>
        <w:kinsoku/>
        <w:wordWrap/>
        <w:overflowPunct/>
        <w:topLinePunct w:val="0"/>
        <w:autoSpaceDE/>
        <w:autoSpaceDN/>
        <w:bidi w:val="0"/>
        <w:adjustRightInd w:val="0"/>
        <w:snapToGrid w:val="0"/>
        <w:spacing w:beforeAutospacing="0" w:after="0" w:afterAutospacing="0" w:line="360" w:lineRule="auto"/>
        <w:jc w:val="left"/>
        <w:rPr>
          <w:rFonts w:hint="eastAsia" w:ascii="宋体" w:hAnsi="宋体" w:eastAsia="宋体" w:cs="宋体"/>
          <w:color w:val="auto"/>
          <w:sz w:val="24"/>
          <w:szCs w:val="24"/>
          <w:highlight w:val="none"/>
        </w:rPr>
      </w:pPr>
    </w:p>
    <w:p w14:paraId="6C5A7799">
      <w:pPr>
        <w:keepNext w:val="0"/>
        <w:keepLines w:val="0"/>
        <w:pageBreakBefore w:val="0"/>
        <w:widowControl/>
        <w:kinsoku/>
        <w:wordWrap/>
        <w:overflowPunct/>
        <w:topLinePunct w:val="0"/>
        <w:autoSpaceDE/>
        <w:autoSpaceDN/>
        <w:bidi w:val="0"/>
        <w:adjustRightInd w:val="0"/>
        <w:snapToGrid w:val="0"/>
        <w:spacing w:beforeAutospacing="0" w:after="0" w:afterAutospacing="0" w:line="360" w:lineRule="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6、</w:t>
      </w:r>
      <w:r>
        <w:rPr>
          <w:rFonts w:hint="eastAsia" w:ascii="宋体" w:hAnsi="宋体" w:eastAsia="宋体" w:cs="宋体"/>
          <w:b/>
          <w:bCs/>
          <w:color w:val="auto"/>
          <w:sz w:val="28"/>
          <w:szCs w:val="28"/>
          <w:highlight w:val="none"/>
          <w:lang w:eastAsia="zh-CN"/>
        </w:rPr>
        <w:t>样品</w:t>
      </w:r>
      <w:r>
        <w:rPr>
          <w:rFonts w:hint="eastAsia" w:ascii="宋体" w:hAnsi="宋体" w:eastAsia="宋体" w:cs="宋体"/>
          <w:b/>
          <w:bCs/>
          <w:color w:val="auto"/>
          <w:sz w:val="28"/>
          <w:szCs w:val="28"/>
          <w:highlight w:val="none"/>
        </w:rPr>
        <w:t>处理及保存</w:t>
      </w:r>
      <w:r>
        <w:rPr>
          <w:rFonts w:hint="eastAsia" w:ascii="宋体" w:hAnsi="宋体" w:eastAsia="宋体" w:cs="宋体"/>
          <w:b/>
          <w:bCs/>
          <w:color w:val="auto"/>
          <w:sz w:val="28"/>
          <w:szCs w:val="28"/>
          <w:highlight w:val="none"/>
          <w:lang w:val="en-US" w:eastAsia="zh-CN"/>
        </w:rPr>
        <w:t>：</w:t>
      </w:r>
    </w:p>
    <w:p w14:paraId="05364818">
      <w:pPr>
        <w:keepNext w:val="0"/>
        <w:keepLines w:val="0"/>
        <w:pageBreakBefore w:val="0"/>
        <w:widowControl/>
        <w:kinsoku/>
        <w:wordWrap/>
        <w:overflowPunct/>
        <w:topLinePunct w:val="0"/>
        <w:autoSpaceDE/>
        <w:autoSpaceDN/>
        <w:bidi w:val="0"/>
        <w:adjustRightInd w:val="0"/>
        <w:snapToGrid w:val="0"/>
        <w:spacing w:beforeAutospacing="0" w:after="0" w:afterAutospacing="0" w:line="360" w:lineRule="auto"/>
        <w:ind w:firstLine="480" w:firstLineChars="200"/>
        <w:rPr>
          <w:rFonts w:hint="eastAsia" w:ascii="宋体" w:hAnsi="宋体" w:eastAsia="宋体" w:cs="宋体"/>
          <w:b/>
          <w:bCs/>
          <w:color w:val="auto"/>
          <w:sz w:val="24"/>
          <w:szCs w:val="24"/>
          <w:highlight w:val="none"/>
          <w:lang w:val="en-US" w:eastAsia="zh-CN"/>
        </w:rPr>
      </w:pPr>
      <w:r>
        <w:rPr>
          <w:rFonts w:hint="eastAsia" w:ascii="宋体" w:hAnsi="宋体" w:eastAsia="宋体" w:cs="宋体"/>
          <w:color w:val="auto"/>
          <w:sz w:val="24"/>
          <w:szCs w:val="24"/>
          <w:highlight w:val="none"/>
        </w:rPr>
        <w:t>样品收集后若在1周内进行检测可保存于2-8℃，若不能及时检测，请按一次使用量分装，冻存于-20℃(1个月内检测)，或-80℃(3个月内检测)，避免反复冻融。在检测前，冷冻过的</w:t>
      </w:r>
      <w:r>
        <w:rPr>
          <w:rFonts w:hint="eastAsia" w:ascii="宋体" w:hAnsi="宋体" w:eastAsia="宋体" w:cs="宋体"/>
          <w:color w:val="auto"/>
          <w:sz w:val="24"/>
          <w:szCs w:val="24"/>
          <w:highlight w:val="none"/>
          <w:lang w:eastAsia="zh-CN"/>
        </w:rPr>
        <w:t>样品</w:t>
      </w:r>
      <w:r>
        <w:rPr>
          <w:rFonts w:hint="eastAsia" w:ascii="宋体" w:hAnsi="宋体" w:eastAsia="宋体" w:cs="宋体"/>
          <w:color w:val="auto"/>
          <w:sz w:val="24"/>
          <w:szCs w:val="24"/>
          <w:highlight w:val="none"/>
        </w:rPr>
        <w:t>应缓慢地融化并离心除去冻融过程产生的沉淀物。室温混匀后使用。</w:t>
      </w:r>
    </w:p>
    <w:p w14:paraId="3884577C">
      <w:pPr>
        <w:keepNext w:val="0"/>
        <w:keepLines w:val="0"/>
        <w:pageBreakBefore w:val="0"/>
        <w:widowControl/>
        <w:numPr>
          <w:ilvl w:val="0"/>
          <w:numId w:val="0"/>
        </w:numPr>
        <w:kinsoku/>
        <w:wordWrap/>
        <w:overflowPunct/>
        <w:topLinePunct w:val="0"/>
        <w:autoSpaceDE/>
        <w:autoSpaceDN/>
        <w:bidi w:val="0"/>
        <w:adjustRightInd w:val="0"/>
        <w:snapToGrid w:val="0"/>
        <w:spacing w:beforeAutospacing="0" w:after="0" w:afterAutospacing="0" w:line="360" w:lineRule="auto"/>
        <w:ind w:left="388" w:leftChars="0" w:hanging="388" w:hangingChars="162"/>
        <w:rPr>
          <w:rFonts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lang w:val="en-US" w:eastAsia="zh-CN"/>
        </w:rPr>
        <w:t xml:space="preserve">6.1 </w:t>
      </w:r>
      <w:r>
        <w:rPr>
          <w:rFonts w:ascii="宋体" w:hAnsi="宋体" w:eastAsia="宋体" w:cs="宋体"/>
          <w:b w:val="0"/>
          <w:bCs w:val="0"/>
          <w:color w:val="auto"/>
          <w:sz w:val="24"/>
          <w:szCs w:val="24"/>
          <w:highlight w:val="none"/>
        </w:rPr>
        <w:t>血清：</w:t>
      </w:r>
      <w:r>
        <w:rPr>
          <w:rFonts w:hint="eastAsia" w:ascii="宋体" w:hAnsi="宋体" w:eastAsia="宋体" w:cs="宋体"/>
          <w:color w:val="auto"/>
          <w:sz w:val="24"/>
          <w:szCs w:val="24"/>
          <w:highlight w:val="none"/>
        </w:rPr>
        <w:t>使用血清分离管收集</w:t>
      </w:r>
      <w:r>
        <w:rPr>
          <w:rFonts w:hint="eastAsia" w:ascii="宋体" w:hAnsi="宋体" w:eastAsia="宋体" w:cs="宋体"/>
          <w:color w:val="auto"/>
          <w:sz w:val="24"/>
          <w:szCs w:val="24"/>
          <w:highlight w:val="none"/>
          <w:lang w:eastAsia="zh-CN"/>
        </w:rPr>
        <w:t>样品</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样品</w:t>
      </w:r>
      <w:r>
        <w:rPr>
          <w:rFonts w:hint="eastAsia" w:ascii="宋体" w:hAnsi="宋体" w:eastAsia="宋体" w:cs="宋体"/>
          <w:color w:val="auto"/>
          <w:sz w:val="24"/>
          <w:szCs w:val="24"/>
          <w:highlight w:val="none"/>
        </w:rPr>
        <w:t>在室温下</w:t>
      </w:r>
      <w:r>
        <w:rPr>
          <w:rFonts w:hint="eastAsia" w:ascii="宋体" w:hAnsi="宋体" w:eastAsia="宋体" w:cs="宋体"/>
          <w:color w:val="auto"/>
          <w:sz w:val="24"/>
          <w:szCs w:val="24"/>
          <w:highlight w:val="none"/>
          <w:lang w:val="en-US" w:eastAsia="zh-CN"/>
        </w:rPr>
        <w:t>放置</w:t>
      </w:r>
      <w:r>
        <w:rPr>
          <w:rFonts w:hint="eastAsia" w:ascii="宋体" w:hAnsi="宋体" w:eastAsia="宋体" w:cs="宋体"/>
          <w:color w:val="auto"/>
          <w:sz w:val="24"/>
          <w:szCs w:val="24"/>
          <w:highlight w:val="none"/>
        </w:rPr>
        <w:t>30分钟，然后以</w:t>
      </w:r>
      <w:r>
        <w:rPr>
          <w:rFonts w:ascii="宋体" w:hAnsi="宋体" w:eastAsia="宋体" w:cs="宋体"/>
          <w:color w:val="auto"/>
          <w:sz w:val="24"/>
          <w:szCs w:val="24"/>
          <w:highlight w:val="none"/>
        </w:rPr>
        <w:t>1000×g</w:t>
      </w:r>
      <w:r>
        <w:rPr>
          <w:rFonts w:hint="eastAsia" w:ascii="宋体" w:hAnsi="宋体" w:eastAsia="宋体" w:cs="宋体"/>
          <w:color w:val="auto"/>
          <w:sz w:val="24"/>
          <w:szCs w:val="24"/>
          <w:highlight w:val="none"/>
        </w:rPr>
        <w:t xml:space="preserve"> 离心15分钟。立即取出血清并进行检测，或将样品分装并保存在-20℃以下，避免反复冻融。</w:t>
      </w:r>
    </w:p>
    <w:p w14:paraId="349FDD88">
      <w:pPr>
        <w:keepNext w:val="0"/>
        <w:keepLines w:val="0"/>
        <w:pageBreakBefore w:val="0"/>
        <w:widowControl/>
        <w:numPr>
          <w:ilvl w:val="0"/>
          <w:numId w:val="0"/>
        </w:numPr>
        <w:kinsoku/>
        <w:wordWrap/>
        <w:overflowPunct/>
        <w:topLinePunct w:val="0"/>
        <w:autoSpaceDE/>
        <w:autoSpaceDN/>
        <w:bidi w:val="0"/>
        <w:adjustRightInd w:val="0"/>
        <w:snapToGrid w:val="0"/>
        <w:spacing w:beforeAutospacing="0" w:after="0" w:afterAutospacing="0" w:line="360" w:lineRule="auto"/>
        <w:ind w:left="388" w:leftChars="0" w:hanging="388" w:hangingChars="162"/>
        <w:rPr>
          <w:rFonts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lang w:val="en-US" w:eastAsia="zh-CN"/>
        </w:rPr>
        <w:t xml:space="preserve">6.2 </w:t>
      </w:r>
      <w:r>
        <w:rPr>
          <w:rFonts w:ascii="宋体" w:hAnsi="宋体" w:eastAsia="宋体" w:cs="宋体"/>
          <w:b w:val="0"/>
          <w:bCs w:val="0"/>
          <w:color w:val="auto"/>
          <w:sz w:val="24"/>
          <w:szCs w:val="24"/>
          <w:highlight w:val="none"/>
        </w:rPr>
        <w:t>血浆：</w:t>
      </w:r>
      <w:r>
        <w:rPr>
          <w:rFonts w:hint="eastAsia" w:ascii="宋体" w:hAnsi="宋体" w:eastAsia="宋体" w:cs="宋体"/>
          <w:color w:val="auto"/>
          <w:sz w:val="24"/>
          <w:szCs w:val="24"/>
          <w:highlight w:val="none"/>
        </w:rPr>
        <w:t>使用EDTA或肝素作为抗凝血剂收集血浆。在收集后的30分钟内，以</w:t>
      </w:r>
      <w:r>
        <w:rPr>
          <w:rFonts w:ascii="宋体" w:hAnsi="宋体" w:eastAsia="宋体" w:cs="宋体"/>
          <w:color w:val="auto"/>
          <w:sz w:val="24"/>
          <w:szCs w:val="24"/>
          <w:highlight w:val="none"/>
        </w:rPr>
        <w:t>2-8℃</w:t>
      </w:r>
      <w:r>
        <w:rPr>
          <w:rFonts w:hint="eastAsia" w:ascii="宋体" w:hAnsi="宋体" w:eastAsia="宋体" w:cs="宋体"/>
          <w:color w:val="auto"/>
          <w:sz w:val="24"/>
          <w:szCs w:val="24"/>
          <w:highlight w:val="none"/>
          <w:lang w:val="en-US" w:eastAsia="zh-CN"/>
        </w:rPr>
        <w:t xml:space="preserve"> </w:t>
      </w:r>
      <w:r>
        <w:rPr>
          <w:rFonts w:ascii="宋体" w:hAnsi="宋体" w:eastAsia="宋体" w:cs="宋体"/>
          <w:color w:val="auto"/>
          <w:sz w:val="24"/>
          <w:szCs w:val="24"/>
          <w:highlight w:val="none"/>
        </w:rPr>
        <w:t>1000×g</w:t>
      </w:r>
      <w:r>
        <w:rPr>
          <w:rFonts w:hint="eastAsia" w:ascii="宋体" w:hAnsi="宋体" w:eastAsia="宋体" w:cs="宋体"/>
          <w:color w:val="auto"/>
          <w:sz w:val="24"/>
          <w:szCs w:val="24"/>
          <w:highlight w:val="none"/>
        </w:rPr>
        <w:t>离心15分钟。立即取出血浆并进行检测，或将样品分装并保存在-20</w:t>
      </w:r>
      <w:bookmarkStart w:id="0" w:name="OLE_LINK4"/>
      <w:r>
        <w:rPr>
          <w:rFonts w:hint="eastAsia" w:ascii="宋体" w:hAnsi="宋体" w:eastAsia="宋体" w:cs="宋体"/>
          <w:color w:val="auto"/>
          <w:sz w:val="24"/>
          <w:szCs w:val="24"/>
          <w:highlight w:val="none"/>
        </w:rPr>
        <w:t>℃</w:t>
      </w:r>
      <w:bookmarkEnd w:id="0"/>
      <w:r>
        <w:rPr>
          <w:rFonts w:hint="eastAsia" w:ascii="宋体" w:hAnsi="宋体" w:eastAsia="宋体" w:cs="宋体"/>
          <w:color w:val="auto"/>
          <w:sz w:val="24"/>
          <w:szCs w:val="24"/>
          <w:highlight w:val="none"/>
        </w:rPr>
        <w:t>以下，避免反复冻融。</w:t>
      </w:r>
    </w:p>
    <w:p w14:paraId="1EB37844">
      <w:pPr>
        <w:keepNext w:val="0"/>
        <w:keepLines w:val="0"/>
        <w:pageBreakBefore w:val="0"/>
        <w:widowControl/>
        <w:numPr>
          <w:ilvl w:val="0"/>
          <w:numId w:val="0"/>
        </w:numPr>
        <w:kinsoku/>
        <w:wordWrap/>
        <w:overflowPunct/>
        <w:topLinePunct w:val="0"/>
        <w:autoSpaceDE/>
        <w:autoSpaceDN/>
        <w:bidi w:val="0"/>
        <w:adjustRightInd w:val="0"/>
        <w:snapToGrid w:val="0"/>
        <w:spacing w:beforeAutospacing="0" w:after="0" w:afterAutospacing="0" w:line="360" w:lineRule="auto"/>
        <w:ind w:left="356" w:leftChars="0" w:hanging="356" w:hangingChars="162"/>
        <w:rPr>
          <w:rFonts w:ascii="宋体" w:hAnsi="宋体" w:eastAsia="宋体" w:cs="宋体"/>
          <w:color w:val="auto"/>
          <w:sz w:val="24"/>
          <w:szCs w:val="24"/>
          <w:highlight w:val="none"/>
        </w:rPr>
      </w:pPr>
      <w:r>
        <w:rPr>
          <w:rFonts w:hint="eastAsia"/>
        </w:rPr>
        <w:drawing>
          <wp:anchor distT="0" distB="0" distL="114300" distR="114300" simplePos="0" relativeHeight="251664384" behindDoc="1" locked="0" layoutInCell="1" allowOverlap="1">
            <wp:simplePos x="0" y="0"/>
            <wp:positionH relativeFrom="column">
              <wp:posOffset>-335280</wp:posOffset>
            </wp:positionH>
            <wp:positionV relativeFrom="page">
              <wp:posOffset>955675</wp:posOffset>
            </wp:positionV>
            <wp:extent cx="6737985" cy="8682355"/>
            <wp:effectExtent l="0" t="0" r="13335" b="4445"/>
            <wp:wrapNone/>
            <wp:docPr id="6" name="图片 6" descr="底纹-0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底纹-01-01"/>
                    <pic:cNvPicPr>
                      <a:picLocks noChangeAspect="1"/>
                    </pic:cNvPicPr>
                  </pic:nvPicPr>
                  <pic:blipFill>
                    <a:blip r:embed="rId7"/>
                    <a:stretch>
                      <a:fillRect/>
                    </a:stretch>
                  </pic:blipFill>
                  <pic:spPr>
                    <a:xfrm>
                      <a:off x="0" y="0"/>
                      <a:ext cx="6737985" cy="8682355"/>
                    </a:xfrm>
                    <a:prstGeom prst="rect">
                      <a:avLst/>
                    </a:prstGeom>
                  </pic:spPr>
                </pic:pic>
              </a:graphicData>
            </a:graphic>
          </wp:anchor>
        </w:drawing>
      </w:r>
      <w:r>
        <w:rPr>
          <w:rFonts w:hint="eastAsia" w:ascii="宋体" w:hAnsi="宋体" w:eastAsia="宋体" w:cs="宋体"/>
          <w:b w:val="0"/>
          <w:bCs w:val="0"/>
          <w:color w:val="auto"/>
          <w:sz w:val="24"/>
          <w:szCs w:val="24"/>
          <w:highlight w:val="none"/>
          <w:lang w:val="en-US" w:eastAsia="zh-CN"/>
        </w:rPr>
        <w:t xml:space="preserve">6.3 </w:t>
      </w:r>
      <w:r>
        <w:rPr>
          <w:rFonts w:ascii="宋体" w:hAnsi="宋体" w:eastAsia="宋体" w:cs="宋体"/>
          <w:b w:val="0"/>
          <w:bCs w:val="0"/>
          <w:color w:val="auto"/>
          <w:sz w:val="24"/>
          <w:szCs w:val="24"/>
          <w:highlight w:val="none"/>
        </w:rPr>
        <w:t>组织匀浆</w:t>
      </w:r>
      <w:r>
        <w:rPr>
          <w:rFonts w:ascii="宋体" w:hAnsi="宋体" w:eastAsia="宋体" w:cs="宋体"/>
          <w:color w:val="auto"/>
          <w:sz w:val="24"/>
          <w:szCs w:val="24"/>
          <w:highlight w:val="none"/>
        </w:rPr>
        <w:t>：</w:t>
      </w:r>
      <w:r>
        <w:rPr>
          <w:rFonts w:hint="eastAsia" w:ascii="宋体" w:hAnsi="宋体" w:eastAsia="宋体" w:cs="宋体"/>
          <w:color w:val="auto"/>
          <w:sz w:val="24"/>
          <w:szCs w:val="24"/>
          <w:highlight w:val="none"/>
        </w:rPr>
        <w:t>用预冷的PBS</w:t>
      </w:r>
      <w:r>
        <w:rPr>
          <w:rFonts w:ascii="宋体" w:hAnsi="宋体" w:eastAsia="宋体" w:cs="宋体"/>
          <w:color w:val="auto"/>
          <w:sz w:val="24"/>
          <w:szCs w:val="24"/>
          <w:highlight w:val="none"/>
        </w:rPr>
        <w:t>(0.01M, pH=7.4)</w:t>
      </w:r>
      <w:r>
        <w:rPr>
          <w:rFonts w:hint="eastAsia" w:ascii="宋体" w:hAnsi="宋体" w:eastAsia="宋体" w:cs="宋体"/>
          <w:color w:val="auto"/>
          <w:sz w:val="24"/>
          <w:szCs w:val="24"/>
          <w:highlight w:val="none"/>
        </w:rPr>
        <w:t>冲洗以去除残留血液。称重后剪碎组织，按1:9（w/v）比例加入PBS</w:t>
      </w:r>
      <w:bookmarkStart w:id="1" w:name="OLE_LINK3"/>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推荐提前加入</w:t>
      </w:r>
      <w:r>
        <w:rPr>
          <w:rFonts w:hint="eastAsia" w:ascii="宋体" w:hAnsi="宋体" w:eastAsia="宋体" w:cs="宋体"/>
          <w:color w:val="auto"/>
          <w:sz w:val="24"/>
          <w:szCs w:val="24"/>
          <w:highlight w:val="none"/>
        </w:rPr>
        <w:t>蛋白酶抑制剂</w:t>
      </w:r>
      <w:r>
        <w:rPr>
          <w:rFonts w:hint="eastAsia" w:ascii="宋体" w:hAnsi="宋体" w:eastAsia="宋体" w:cs="宋体"/>
          <w:color w:val="auto"/>
          <w:sz w:val="24"/>
          <w:szCs w:val="24"/>
          <w:highlight w:val="none"/>
          <w:lang w:eastAsia="zh-CN"/>
        </w:rPr>
        <w:t>）</w:t>
      </w:r>
      <w:bookmarkEnd w:id="1"/>
      <w:r>
        <w:rPr>
          <w:rFonts w:hint="eastAsia" w:ascii="宋体" w:hAnsi="宋体" w:eastAsia="宋体" w:cs="宋体"/>
          <w:color w:val="auto"/>
          <w:sz w:val="24"/>
          <w:szCs w:val="24"/>
          <w:highlight w:val="none"/>
        </w:rPr>
        <w:t>，放入玻璃匀浆器中冰上研磨。为提高裂解效率，可超声破碎或反复冻融。最后，</w:t>
      </w:r>
      <w:r>
        <w:rPr>
          <w:rFonts w:ascii="宋体" w:hAnsi="宋体" w:eastAsia="宋体" w:cs="宋体"/>
          <w:color w:val="auto"/>
          <w:sz w:val="24"/>
          <w:szCs w:val="24"/>
          <w:highlight w:val="none"/>
        </w:rPr>
        <w:t>将匀浆液于</w:t>
      </w:r>
      <w:r>
        <w:rPr>
          <w:rFonts w:hint="eastAsia" w:ascii="宋体" w:hAnsi="宋体" w:eastAsia="宋体" w:cs="宋体"/>
          <w:color w:val="auto"/>
          <w:sz w:val="24"/>
          <w:szCs w:val="24"/>
          <w:highlight w:val="none"/>
        </w:rPr>
        <w:t>5000×g离心5-10分钟，</w:t>
      </w:r>
      <w:bookmarkStart w:id="2" w:name="OLE_LINK1"/>
      <w:r>
        <w:rPr>
          <w:rFonts w:hint="eastAsia" w:ascii="宋体" w:hAnsi="宋体" w:eastAsia="宋体" w:cs="宋体"/>
          <w:color w:val="auto"/>
          <w:sz w:val="24"/>
          <w:szCs w:val="24"/>
          <w:highlight w:val="none"/>
        </w:rPr>
        <w:t>立即取出</w:t>
      </w:r>
      <w:r>
        <w:rPr>
          <w:rFonts w:hint="eastAsia" w:ascii="宋体" w:hAnsi="宋体" w:eastAsia="宋体" w:cs="宋体"/>
          <w:color w:val="auto"/>
          <w:sz w:val="24"/>
          <w:szCs w:val="24"/>
          <w:highlight w:val="none"/>
          <w:lang w:val="en-US" w:eastAsia="zh-CN"/>
        </w:rPr>
        <w:t>上</w:t>
      </w:r>
      <w:r>
        <w:rPr>
          <w:rFonts w:hint="eastAsia" w:ascii="宋体" w:hAnsi="宋体" w:eastAsia="宋体" w:cs="宋体"/>
          <w:color w:val="auto"/>
          <w:sz w:val="24"/>
          <w:szCs w:val="24"/>
          <w:highlight w:val="none"/>
        </w:rPr>
        <w:t>清并进行检测</w:t>
      </w:r>
      <w:bookmarkEnd w:id="2"/>
      <w:r>
        <w:rPr>
          <w:rFonts w:hint="eastAsia" w:ascii="宋体" w:hAnsi="宋体" w:eastAsia="宋体" w:cs="宋体"/>
          <w:color w:val="auto"/>
          <w:sz w:val="24"/>
          <w:szCs w:val="24"/>
          <w:highlight w:val="none"/>
        </w:rPr>
        <w:t>，或将样品分装并保存在-20℃以下，避免反复冻融。</w:t>
      </w:r>
    </w:p>
    <w:p w14:paraId="4BCDB196">
      <w:pPr>
        <w:keepNext w:val="0"/>
        <w:keepLines w:val="0"/>
        <w:pageBreakBefore w:val="0"/>
        <w:widowControl/>
        <w:numPr>
          <w:ilvl w:val="0"/>
          <w:numId w:val="0"/>
        </w:numPr>
        <w:kinsoku/>
        <w:wordWrap/>
        <w:overflowPunct/>
        <w:topLinePunct w:val="0"/>
        <w:autoSpaceDE/>
        <w:autoSpaceDN/>
        <w:bidi w:val="0"/>
        <w:adjustRightInd w:val="0"/>
        <w:snapToGrid w:val="0"/>
        <w:spacing w:beforeAutospacing="0" w:after="0" w:afterAutospacing="0" w:line="360" w:lineRule="auto"/>
        <w:ind w:left="388" w:leftChars="0" w:hanging="388" w:hangingChars="162"/>
        <w:rPr>
          <w:rFonts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lang w:val="en-US" w:eastAsia="zh-CN"/>
        </w:rPr>
        <w:t xml:space="preserve">6.4 </w:t>
      </w:r>
      <w:r>
        <w:rPr>
          <w:rFonts w:ascii="宋体" w:hAnsi="宋体" w:eastAsia="宋体" w:cs="宋体"/>
          <w:b w:val="0"/>
          <w:bCs w:val="0"/>
          <w:color w:val="auto"/>
          <w:sz w:val="24"/>
          <w:szCs w:val="24"/>
          <w:highlight w:val="none"/>
        </w:rPr>
        <w:t>细胞培养物上清：</w:t>
      </w:r>
      <w:r>
        <w:rPr>
          <w:rFonts w:ascii="宋体" w:hAnsi="宋体" w:eastAsia="宋体" w:cs="宋体"/>
          <w:color w:val="auto"/>
          <w:sz w:val="24"/>
          <w:szCs w:val="24"/>
          <w:highlight w:val="none"/>
        </w:rPr>
        <w:t>1000×g离心20分钟</w:t>
      </w:r>
      <w:r>
        <w:rPr>
          <w:rFonts w:hint="eastAsia" w:ascii="宋体" w:hAnsi="宋体" w:eastAsia="宋体" w:cs="宋体"/>
          <w:color w:val="auto"/>
          <w:sz w:val="24"/>
          <w:szCs w:val="24"/>
          <w:highlight w:val="none"/>
          <w:lang w:val="en-US" w:eastAsia="zh-CN"/>
        </w:rPr>
        <w:t>以</w:t>
      </w:r>
      <w:r>
        <w:rPr>
          <w:rFonts w:hint="eastAsia" w:ascii="宋体" w:hAnsi="宋体" w:eastAsia="宋体" w:cs="宋体"/>
          <w:color w:val="auto"/>
          <w:sz w:val="24"/>
          <w:szCs w:val="24"/>
          <w:highlight w:val="none"/>
        </w:rPr>
        <w:t>去除颗粒，立即取出</w:t>
      </w:r>
      <w:r>
        <w:rPr>
          <w:rFonts w:hint="eastAsia" w:ascii="宋体" w:hAnsi="宋体" w:eastAsia="宋体" w:cs="宋体"/>
          <w:color w:val="auto"/>
          <w:sz w:val="24"/>
          <w:szCs w:val="24"/>
          <w:highlight w:val="none"/>
          <w:lang w:val="en-US" w:eastAsia="zh-CN"/>
        </w:rPr>
        <w:t>上</w:t>
      </w:r>
      <w:r>
        <w:rPr>
          <w:rFonts w:hint="eastAsia" w:ascii="宋体" w:hAnsi="宋体" w:eastAsia="宋体" w:cs="宋体"/>
          <w:color w:val="auto"/>
          <w:sz w:val="24"/>
          <w:szCs w:val="24"/>
          <w:highlight w:val="none"/>
        </w:rPr>
        <w:t>清并进行检测，或将样品分装并保存在-20℃以下，避免反复冻融。</w:t>
      </w:r>
    </w:p>
    <w:p w14:paraId="2E6075A3">
      <w:pPr>
        <w:keepNext w:val="0"/>
        <w:keepLines w:val="0"/>
        <w:pageBreakBefore w:val="0"/>
        <w:widowControl/>
        <w:numPr>
          <w:ilvl w:val="0"/>
          <w:numId w:val="0"/>
        </w:numPr>
        <w:kinsoku/>
        <w:wordWrap/>
        <w:overflowPunct/>
        <w:topLinePunct w:val="0"/>
        <w:autoSpaceDE/>
        <w:autoSpaceDN/>
        <w:bidi w:val="0"/>
        <w:adjustRightInd w:val="0"/>
        <w:snapToGrid w:val="0"/>
        <w:spacing w:beforeAutospacing="0" w:after="0" w:afterAutospacing="0" w:line="360" w:lineRule="auto"/>
        <w:ind w:left="388" w:leftChars="0" w:hanging="388" w:hangingChars="162"/>
        <w:rPr>
          <w:rFonts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lang w:val="en-US" w:eastAsia="zh-CN"/>
        </w:rPr>
        <w:t xml:space="preserve">6.5 </w:t>
      </w:r>
      <w:r>
        <w:rPr>
          <w:rFonts w:ascii="宋体" w:hAnsi="宋体" w:eastAsia="宋体" w:cs="宋体"/>
          <w:b w:val="0"/>
          <w:bCs w:val="0"/>
          <w:color w:val="auto"/>
          <w:sz w:val="24"/>
          <w:szCs w:val="24"/>
          <w:highlight w:val="none"/>
        </w:rPr>
        <w:t>细胞裂解液：</w:t>
      </w:r>
      <w:bookmarkStart w:id="3" w:name="OLE_LINK2"/>
      <w:r>
        <w:rPr>
          <w:rFonts w:hint="eastAsia" w:ascii="宋体" w:hAnsi="宋体" w:eastAsia="宋体" w:cs="宋体"/>
          <w:color w:val="auto"/>
          <w:sz w:val="24"/>
          <w:szCs w:val="24"/>
          <w:highlight w:val="none"/>
        </w:rPr>
        <w:t>贴壁细胞经预冷PBS清洗后，胰蛋白酶消化并1000×g离心5分钟收集；悬浮细胞直接离心收集。收集的细胞用预冷PBS清洗3次，每1×10^6个细胞加150-200μL</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PBS</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推荐提前加入</w:t>
      </w:r>
      <w:r>
        <w:rPr>
          <w:rFonts w:hint="eastAsia" w:ascii="宋体" w:hAnsi="宋体" w:eastAsia="宋体" w:cs="宋体"/>
          <w:color w:val="auto"/>
          <w:sz w:val="24"/>
          <w:szCs w:val="24"/>
          <w:highlight w:val="none"/>
        </w:rPr>
        <w:t>蛋白酶抑制剂</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重悬，</w:t>
      </w:r>
      <w:r>
        <w:rPr>
          <w:rFonts w:hint="eastAsia" w:ascii="宋体" w:hAnsi="宋体" w:eastAsia="宋体" w:cs="宋体"/>
          <w:color w:val="auto"/>
          <w:sz w:val="24"/>
          <w:szCs w:val="24"/>
          <w:highlight w:val="none"/>
          <w:lang w:val="en-US" w:eastAsia="zh-CN"/>
        </w:rPr>
        <w:t>反复</w:t>
      </w:r>
      <w:r>
        <w:rPr>
          <w:rFonts w:hint="eastAsia" w:ascii="宋体" w:hAnsi="宋体" w:eastAsia="宋体" w:cs="宋体"/>
          <w:color w:val="auto"/>
          <w:sz w:val="24"/>
          <w:szCs w:val="24"/>
          <w:highlight w:val="none"/>
        </w:rPr>
        <w:t>冻融或超声</w:t>
      </w:r>
      <w:r>
        <w:rPr>
          <w:rFonts w:hint="eastAsia" w:ascii="宋体" w:hAnsi="宋体" w:eastAsia="宋体" w:cs="宋体"/>
          <w:color w:val="auto"/>
          <w:sz w:val="24"/>
          <w:szCs w:val="24"/>
          <w:highlight w:val="none"/>
          <w:lang w:val="en-US" w:eastAsia="zh-CN"/>
        </w:rPr>
        <w:t>细胞</w:t>
      </w:r>
      <w:r>
        <w:rPr>
          <w:rFonts w:hint="eastAsia" w:ascii="宋体" w:hAnsi="宋体" w:eastAsia="宋体" w:cs="宋体"/>
          <w:color w:val="auto"/>
          <w:sz w:val="24"/>
          <w:szCs w:val="24"/>
          <w:highlight w:val="none"/>
        </w:rPr>
        <w:t>破碎。最后，2-8℃</w:t>
      </w:r>
      <w:r>
        <w:rPr>
          <w:rFonts w:hint="eastAsia" w:ascii="宋体" w:hAnsi="宋体" w:eastAsia="宋体" w:cs="宋体"/>
          <w:color w:val="auto"/>
          <w:sz w:val="24"/>
          <w:szCs w:val="24"/>
          <w:highlight w:val="none"/>
          <w:lang w:val="en-US" w:eastAsia="zh-CN"/>
        </w:rPr>
        <w:t xml:space="preserve"> 1</w:t>
      </w:r>
      <w:r>
        <w:rPr>
          <w:rFonts w:hint="eastAsia" w:ascii="宋体" w:hAnsi="宋体" w:eastAsia="宋体" w:cs="宋体"/>
          <w:color w:val="auto"/>
          <w:sz w:val="24"/>
          <w:szCs w:val="24"/>
          <w:highlight w:val="none"/>
        </w:rPr>
        <w:t>500×g离心10分钟，取上清检测。</w:t>
      </w:r>
      <w:bookmarkEnd w:id="3"/>
    </w:p>
    <w:p w14:paraId="34BA0C52">
      <w:pPr>
        <w:keepNext w:val="0"/>
        <w:keepLines w:val="0"/>
        <w:pageBreakBefore w:val="0"/>
        <w:widowControl/>
        <w:numPr>
          <w:ilvl w:val="0"/>
          <w:numId w:val="0"/>
        </w:numPr>
        <w:kinsoku/>
        <w:wordWrap/>
        <w:overflowPunct/>
        <w:topLinePunct w:val="0"/>
        <w:autoSpaceDE/>
        <w:autoSpaceDN/>
        <w:bidi w:val="0"/>
        <w:adjustRightInd w:val="0"/>
        <w:snapToGrid w:val="0"/>
        <w:spacing w:beforeAutospacing="0" w:after="0" w:afterAutospacing="0" w:line="360" w:lineRule="auto"/>
        <w:ind w:leftChars="0"/>
        <w:rPr>
          <w:rFonts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lang w:val="en-US" w:eastAsia="zh-CN"/>
        </w:rPr>
        <w:t xml:space="preserve">6.6 </w:t>
      </w:r>
      <w:r>
        <w:rPr>
          <w:rFonts w:ascii="宋体" w:hAnsi="宋体" w:eastAsia="宋体" w:cs="宋体"/>
          <w:b w:val="0"/>
          <w:bCs w:val="0"/>
          <w:color w:val="auto"/>
          <w:sz w:val="24"/>
          <w:szCs w:val="24"/>
          <w:highlight w:val="none"/>
        </w:rPr>
        <w:t>其它生物</w:t>
      </w:r>
      <w:r>
        <w:rPr>
          <w:rFonts w:hint="eastAsia" w:ascii="宋体" w:hAnsi="宋体" w:eastAsia="宋体" w:cs="宋体"/>
          <w:b w:val="0"/>
          <w:bCs w:val="0"/>
          <w:color w:val="auto"/>
          <w:sz w:val="24"/>
          <w:szCs w:val="24"/>
          <w:highlight w:val="none"/>
          <w:lang w:eastAsia="zh-CN"/>
        </w:rPr>
        <w:t>样品</w:t>
      </w:r>
      <w:r>
        <w:rPr>
          <w:rFonts w:ascii="宋体" w:hAnsi="宋体" w:eastAsia="宋体" w:cs="宋体"/>
          <w:b w:val="0"/>
          <w:bCs w:val="0"/>
          <w:color w:val="auto"/>
          <w:sz w:val="24"/>
          <w:szCs w:val="24"/>
          <w:highlight w:val="none"/>
        </w:rPr>
        <w:t>：</w:t>
      </w:r>
      <w:r>
        <w:rPr>
          <w:rFonts w:ascii="宋体" w:hAnsi="宋体" w:eastAsia="宋体" w:cs="宋体"/>
          <w:color w:val="auto"/>
          <w:sz w:val="24"/>
          <w:szCs w:val="24"/>
          <w:highlight w:val="none"/>
        </w:rPr>
        <w:t>1000×g离心20分钟，取上清即可检测。</w:t>
      </w:r>
    </w:p>
    <w:p w14:paraId="05303124">
      <w:pPr>
        <w:keepNext w:val="0"/>
        <w:keepLines w:val="0"/>
        <w:pageBreakBefore w:val="0"/>
        <w:widowControl/>
        <w:numPr>
          <w:ilvl w:val="0"/>
          <w:numId w:val="0"/>
        </w:numPr>
        <w:kinsoku/>
        <w:wordWrap/>
        <w:overflowPunct/>
        <w:topLinePunct w:val="0"/>
        <w:autoSpaceDE/>
        <w:autoSpaceDN/>
        <w:bidi w:val="0"/>
        <w:adjustRightInd w:val="0"/>
        <w:snapToGrid w:val="0"/>
        <w:spacing w:beforeAutospacing="0" w:after="0" w:afterAutospacing="0" w:line="360" w:lineRule="auto"/>
        <w:ind w:leftChars="0"/>
        <w:rPr>
          <w:rFonts w:ascii="宋体" w:hAnsi="宋体" w:eastAsia="宋体" w:cs="宋体"/>
          <w:color w:val="auto"/>
          <w:sz w:val="24"/>
          <w:szCs w:val="24"/>
          <w:highlight w:val="none"/>
        </w:rPr>
      </w:pPr>
    </w:p>
    <w:p w14:paraId="22F33F07">
      <w:pPr>
        <w:keepNext w:val="0"/>
        <w:keepLines w:val="0"/>
        <w:pageBreakBefore w:val="0"/>
        <w:widowControl/>
        <w:kinsoku/>
        <w:wordWrap/>
        <w:overflowPunct/>
        <w:topLinePunct w:val="0"/>
        <w:autoSpaceDE/>
        <w:autoSpaceDN/>
        <w:bidi w:val="0"/>
        <w:adjustRightInd w:val="0"/>
        <w:snapToGrid w:val="0"/>
        <w:spacing w:beforeAutospacing="0" w:after="0" w:afterAutospacing="0" w:line="360" w:lineRule="auto"/>
        <w:textAlignment w:val="auto"/>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lang w:val="en-US" w:eastAsia="zh-CN"/>
        </w:rPr>
        <w:t>7、</w:t>
      </w:r>
      <w:r>
        <w:rPr>
          <w:rFonts w:ascii="宋体" w:hAnsi="宋体" w:eastAsia="宋体" w:cs="宋体"/>
          <w:b/>
          <w:bCs/>
          <w:color w:val="auto"/>
          <w:sz w:val="28"/>
          <w:szCs w:val="28"/>
          <w:highlight w:val="none"/>
        </w:rPr>
        <w:t>检测前试剂准备</w:t>
      </w:r>
      <w:r>
        <w:rPr>
          <w:rFonts w:hint="eastAsia" w:ascii="宋体" w:hAnsi="宋体" w:eastAsia="宋体" w:cs="宋体"/>
          <w:b/>
          <w:bCs/>
          <w:color w:val="auto"/>
          <w:sz w:val="28"/>
          <w:szCs w:val="28"/>
          <w:highlight w:val="none"/>
          <w:lang w:eastAsia="zh-CN"/>
        </w:rPr>
        <w:t>：</w:t>
      </w:r>
    </w:p>
    <w:p w14:paraId="3B10574D">
      <w:pPr>
        <w:keepNext w:val="0"/>
        <w:keepLines w:val="0"/>
        <w:pageBreakBefore w:val="0"/>
        <w:widowControl/>
        <w:numPr>
          <w:ilvl w:val="0"/>
          <w:numId w:val="0"/>
        </w:numPr>
        <w:tabs>
          <w:tab w:val="left" w:pos="860"/>
        </w:tabs>
        <w:kinsoku/>
        <w:wordWrap/>
        <w:overflowPunct/>
        <w:topLinePunct w:val="0"/>
        <w:autoSpaceDE/>
        <w:autoSpaceDN/>
        <w:bidi w:val="0"/>
        <w:adjustRightInd w:val="0"/>
        <w:snapToGrid w:val="0"/>
        <w:spacing w:beforeAutospacing="0" w:after="0" w:afterAutospacing="0" w:line="360" w:lineRule="auto"/>
        <w:ind w:left="439" w:leftChars="0" w:hanging="439" w:hangingChars="183"/>
        <w:jc w:val="both"/>
        <w:textAlignment w:val="auto"/>
        <w:rPr>
          <w:rFonts w:ascii="宋体" w:hAnsi="宋体" w:eastAsia="宋体" w:cs="Arial"/>
          <w:color w:val="auto"/>
          <w:sz w:val="24"/>
          <w:szCs w:val="24"/>
          <w:highlight w:val="none"/>
        </w:rPr>
      </w:pPr>
      <w:r>
        <w:rPr>
          <w:rFonts w:hint="eastAsia" w:ascii="宋体" w:hAnsi="宋体" w:eastAsia="宋体" w:cs="宋体"/>
          <w:color w:val="auto"/>
          <w:sz w:val="24"/>
          <w:szCs w:val="24"/>
          <w:highlight w:val="none"/>
          <w:lang w:val="en-US" w:eastAsia="zh-CN"/>
        </w:rPr>
        <w:t xml:space="preserve">7.1 </w:t>
      </w:r>
      <w:r>
        <w:rPr>
          <w:rFonts w:ascii="宋体" w:hAnsi="宋体" w:eastAsia="宋体" w:cs="宋体"/>
          <w:color w:val="auto"/>
          <w:sz w:val="24"/>
          <w:szCs w:val="24"/>
          <w:highlight w:val="none"/>
        </w:rPr>
        <w:t>提前</w:t>
      </w:r>
      <w:r>
        <w:rPr>
          <w:rFonts w:ascii="宋体" w:hAnsi="宋体" w:eastAsia="宋体" w:cs="Arial"/>
          <w:b/>
          <w:color w:val="auto"/>
          <w:sz w:val="24"/>
          <w:szCs w:val="24"/>
          <w:highlight w:val="none"/>
        </w:rPr>
        <w:t>20</w:t>
      </w:r>
      <w:r>
        <w:rPr>
          <w:rFonts w:ascii="宋体" w:hAnsi="宋体" w:eastAsia="宋体" w:cs="宋体"/>
          <w:color w:val="auto"/>
          <w:sz w:val="24"/>
          <w:szCs w:val="24"/>
          <w:highlight w:val="none"/>
        </w:rPr>
        <w:t>分钟从冰箱中取出试剂盒</w:t>
      </w:r>
      <w:r>
        <w:rPr>
          <w:rFonts w:ascii="宋体" w:hAnsi="宋体" w:eastAsia="宋体" w:cs="MS PGothic"/>
          <w:color w:val="auto"/>
          <w:sz w:val="24"/>
          <w:szCs w:val="24"/>
          <w:highlight w:val="none"/>
        </w:rPr>
        <w:t>，</w:t>
      </w:r>
      <w:r>
        <w:rPr>
          <w:rFonts w:ascii="宋体" w:hAnsi="宋体" w:eastAsia="宋体" w:cs="宋体"/>
          <w:color w:val="auto"/>
          <w:sz w:val="24"/>
          <w:szCs w:val="24"/>
          <w:highlight w:val="none"/>
        </w:rPr>
        <w:t>平衡至室温。如果试剂盒需分多次使用，请仅取出本次实验所需的酶标板条和试剂，剩余板条和试剂需按照指定条件保存。读数前</w:t>
      </w:r>
      <w:r>
        <w:rPr>
          <w:rFonts w:ascii="宋体" w:hAnsi="宋体" w:eastAsia="宋体" w:cs="Arial"/>
          <w:b/>
          <w:color w:val="auto"/>
          <w:sz w:val="24"/>
          <w:szCs w:val="24"/>
          <w:highlight w:val="none"/>
        </w:rPr>
        <w:t>15</w:t>
      </w:r>
      <w:r>
        <w:rPr>
          <w:rFonts w:ascii="宋体" w:hAnsi="宋体" w:eastAsia="宋体" w:cs="宋体"/>
          <w:color w:val="auto"/>
          <w:sz w:val="24"/>
          <w:szCs w:val="24"/>
          <w:highlight w:val="none"/>
        </w:rPr>
        <w:t>分钟打开酶标仪预热。</w:t>
      </w:r>
    </w:p>
    <w:p w14:paraId="39152760">
      <w:pPr>
        <w:keepNext w:val="0"/>
        <w:keepLines w:val="0"/>
        <w:pageBreakBefore w:val="0"/>
        <w:widowControl/>
        <w:numPr>
          <w:ilvl w:val="0"/>
          <w:numId w:val="0"/>
        </w:numPr>
        <w:tabs>
          <w:tab w:val="left" w:pos="860"/>
        </w:tabs>
        <w:kinsoku/>
        <w:wordWrap/>
        <w:overflowPunct/>
        <w:topLinePunct w:val="0"/>
        <w:autoSpaceDE/>
        <w:autoSpaceDN/>
        <w:bidi w:val="0"/>
        <w:adjustRightInd w:val="0"/>
        <w:snapToGrid w:val="0"/>
        <w:spacing w:beforeAutospacing="0" w:after="0" w:afterAutospacing="0" w:line="360" w:lineRule="auto"/>
        <w:ind w:left="439" w:leftChars="0" w:hanging="439" w:hangingChars="183"/>
        <w:jc w:val="both"/>
        <w:textAlignment w:val="auto"/>
        <w:rPr>
          <w:rFonts w:ascii="宋体" w:hAnsi="宋体" w:eastAsia="宋体" w:cs="Arial"/>
          <w:color w:val="auto"/>
          <w:sz w:val="24"/>
          <w:szCs w:val="24"/>
          <w:highlight w:val="none"/>
        </w:rPr>
      </w:pPr>
      <w:r>
        <w:rPr>
          <w:rFonts w:hint="eastAsia" w:ascii="宋体" w:hAnsi="宋体" w:eastAsia="宋体" w:cs="Arial"/>
          <w:color w:val="auto"/>
          <w:sz w:val="24"/>
          <w:szCs w:val="24"/>
          <w:highlight w:val="none"/>
          <w:lang w:val="en-US" w:eastAsia="zh-CN"/>
        </w:rPr>
        <w:t xml:space="preserve">7.2 </w:t>
      </w:r>
      <w:r>
        <w:rPr>
          <w:rFonts w:hint="eastAsia" w:ascii="宋体" w:hAnsi="宋体" w:eastAsia="宋体" w:cs="Arial"/>
          <w:color w:val="auto"/>
          <w:sz w:val="24"/>
          <w:szCs w:val="24"/>
          <w:highlight w:val="none"/>
        </w:rPr>
        <w:t>洗涤液配</w:t>
      </w:r>
      <w:r>
        <w:rPr>
          <w:rFonts w:hint="eastAsia" w:ascii="宋体" w:hAnsi="宋体" w:eastAsia="宋体" w:cs="宋体"/>
          <w:color w:val="auto"/>
          <w:sz w:val="24"/>
          <w:szCs w:val="24"/>
          <w:highlight w:val="none"/>
          <w:lang w:eastAsia="zh-Hans"/>
        </w:rPr>
        <w:t>制</w:t>
      </w:r>
      <w:r>
        <w:rPr>
          <w:rFonts w:hint="eastAsia" w:ascii="宋体" w:hAnsi="宋体" w:eastAsia="宋体" w:cs="Arial"/>
          <w:color w:val="auto"/>
          <w:sz w:val="24"/>
          <w:szCs w:val="24"/>
          <w:highlight w:val="none"/>
        </w:rPr>
        <w:t>：用蒸馏水1:20稀释（例：1</w:t>
      </w:r>
      <w:r>
        <w:rPr>
          <w:rFonts w:hint="eastAsia" w:ascii="宋体" w:hAnsi="宋体" w:eastAsia="宋体" w:cs="Arial"/>
          <w:color w:val="auto"/>
          <w:sz w:val="24"/>
          <w:szCs w:val="24"/>
          <w:highlight w:val="none"/>
          <w:lang w:eastAsia="zh-CN"/>
        </w:rPr>
        <w:t>mL</w:t>
      </w:r>
      <w:r>
        <w:rPr>
          <w:rFonts w:hint="eastAsia" w:ascii="宋体" w:hAnsi="宋体" w:eastAsia="宋体" w:cs="Arial"/>
          <w:color w:val="auto"/>
          <w:sz w:val="24"/>
          <w:szCs w:val="24"/>
          <w:highlight w:val="none"/>
        </w:rPr>
        <w:t>浓缩洗涤液加入19</w:t>
      </w:r>
      <w:r>
        <w:rPr>
          <w:rFonts w:hint="eastAsia" w:ascii="宋体" w:hAnsi="宋体" w:eastAsia="宋体" w:cs="Arial"/>
          <w:color w:val="auto"/>
          <w:sz w:val="24"/>
          <w:szCs w:val="24"/>
          <w:highlight w:val="none"/>
          <w:lang w:eastAsia="zh-CN"/>
        </w:rPr>
        <w:t>mL</w:t>
      </w:r>
      <w:r>
        <w:rPr>
          <w:rFonts w:hint="eastAsia" w:ascii="宋体" w:hAnsi="宋体" w:eastAsia="宋体" w:cs="Arial"/>
          <w:color w:val="auto"/>
          <w:sz w:val="24"/>
          <w:szCs w:val="24"/>
          <w:highlight w:val="none"/>
        </w:rPr>
        <w:t>的蒸馏水）。从冰箱中取出的浓缩洗涤液可能有结晶，属于正常现象，可用40℃水浴</w:t>
      </w:r>
      <w:r>
        <w:rPr>
          <w:rFonts w:hint="eastAsia" w:ascii="宋体" w:hAnsi="宋体" w:eastAsia="宋体" w:cs="Arial"/>
          <w:color w:val="auto"/>
          <w:sz w:val="24"/>
          <w:szCs w:val="24"/>
          <w:highlight w:val="none"/>
          <w:lang w:eastAsia="zh-CN"/>
        </w:rPr>
        <w:t>，</w:t>
      </w:r>
      <w:r>
        <w:rPr>
          <w:rFonts w:hint="eastAsia" w:ascii="宋体" w:hAnsi="宋体" w:eastAsia="宋体" w:cs="Arial"/>
          <w:color w:val="auto"/>
          <w:sz w:val="24"/>
          <w:szCs w:val="24"/>
          <w:highlight w:val="none"/>
          <w:lang w:val="en-US" w:eastAsia="zh-CN"/>
        </w:rPr>
        <w:t>稍</w:t>
      </w:r>
      <w:r>
        <w:rPr>
          <w:rFonts w:hint="eastAsia" w:ascii="宋体" w:hAnsi="宋体" w:eastAsia="宋体" w:cs="Arial"/>
          <w:color w:val="auto"/>
          <w:sz w:val="24"/>
          <w:szCs w:val="24"/>
          <w:highlight w:val="none"/>
        </w:rPr>
        <w:t>微加热使结晶完全溶解后再配制洗涤液。当日使用。</w:t>
      </w:r>
    </w:p>
    <w:p w14:paraId="155CD8C6">
      <w:pPr>
        <w:keepNext w:val="0"/>
        <w:keepLines w:val="0"/>
        <w:pageBreakBefore w:val="0"/>
        <w:widowControl/>
        <w:numPr>
          <w:ilvl w:val="0"/>
          <w:numId w:val="0"/>
        </w:numPr>
        <w:tabs>
          <w:tab w:val="left" w:pos="860"/>
        </w:tabs>
        <w:kinsoku/>
        <w:wordWrap/>
        <w:overflowPunct/>
        <w:topLinePunct w:val="0"/>
        <w:autoSpaceDE/>
        <w:autoSpaceDN/>
        <w:bidi w:val="0"/>
        <w:adjustRightInd w:val="0"/>
        <w:snapToGrid w:val="0"/>
        <w:spacing w:beforeAutospacing="0" w:after="0" w:afterAutospacing="0" w:line="360" w:lineRule="auto"/>
        <w:ind w:left="480" w:leftChars="0" w:hanging="480" w:hangingChars="200"/>
        <w:jc w:val="both"/>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7.3 </w:t>
      </w:r>
      <w:r>
        <w:rPr>
          <w:rFonts w:ascii="宋体" w:hAnsi="宋体" w:eastAsia="宋体" w:cs="宋体"/>
          <w:color w:val="auto"/>
          <w:sz w:val="24"/>
          <w:szCs w:val="24"/>
          <w:highlight w:val="none"/>
        </w:rPr>
        <w:t>标</w:t>
      </w:r>
      <w:r>
        <w:rPr>
          <w:rFonts w:hint="eastAsia" w:ascii="宋体" w:hAnsi="宋体" w:eastAsia="宋体" w:cs="宋体"/>
          <w:color w:val="auto"/>
          <w:sz w:val="24"/>
          <w:szCs w:val="24"/>
          <w:highlight w:val="none"/>
          <w:lang w:eastAsia="zh-Hans"/>
        </w:rPr>
        <w:t>准品配制：试剂盒中取出标准品</w:t>
      </w:r>
      <w:r>
        <w:rPr>
          <w:rFonts w:ascii="宋体" w:hAnsi="宋体" w:eastAsia="宋体" w:cs="宋体"/>
          <w:color w:val="auto"/>
          <w:sz w:val="24"/>
          <w:szCs w:val="24"/>
          <w:highlight w:val="none"/>
          <w:lang w:eastAsia="zh-Hans"/>
        </w:rPr>
        <w:t>，</w:t>
      </w:r>
      <w:r>
        <w:rPr>
          <w:rFonts w:hint="eastAsia" w:ascii="宋体" w:hAnsi="宋体" w:eastAsia="宋体" w:cs="宋体"/>
          <w:color w:val="auto"/>
          <w:sz w:val="24"/>
          <w:szCs w:val="24"/>
          <w:highlight w:val="none"/>
          <w:lang w:eastAsia="zh-Hans"/>
        </w:rPr>
        <w:t>加入</w:t>
      </w:r>
      <w:r>
        <w:rPr>
          <w:rFonts w:ascii="宋体" w:hAnsi="宋体" w:eastAsia="宋体" w:cs="宋体"/>
          <w:color w:val="auto"/>
          <w:sz w:val="24"/>
          <w:szCs w:val="24"/>
          <w:highlight w:val="none"/>
          <w:lang w:eastAsia="zh-Hans"/>
        </w:rPr>
        <w:t>1</w:t>
      </w:r>
      <w:r>
        <w:rPr>
          <w:rFonts w:hint="eastAsia" w:ascii="宋体" w:hAnsi="宋体" w:eastAsia="宋体" w:cs="宋体"/>
          <w:color w:val="auto"/>
          <w:sz w:val="24"/>
          <w:szCs w:val="24"/>
          <w:highlight w:val="none"/>
          <w:lang w:eastAsia="zh-CN"/>
        </w:rPr>
        <w:t>mL</w:t>
      </w:r>
      <w:r>
        <w:rPr>
          <w:rFonts w:hint="eastAsia" w:ascii="宋体" w:hAnsi="宋体" w:eastAsia="宋体" w:cs="宋体"/>
          <w:color w:val="auto"/>
          <w:sz w:val="24"/>
          <w:szCs w:val="24"/>
          <w:highlight w:val="none"/>
          <w:lang w:eastAsia="zh-Hans"/>
        </w:rPr>
        <w:t>标准品</w:t>
      </w:r>
      <w:r>
        <w:rPr>
          <w:rFonts w:ascii="宋体" w:hAnsi="宋体" w:eastAsia="宋体" w:cs="宋体"/>
          <w:color w:val="auto"/>
          <w:sz w:val="24"/>
          <w:szCs w:val="24"/>
          <w:highlight w:val="none"/>
        </w:rPr>
        <w:t>&amp;</w:t>
      </w:r>
      <w:r>
        <w:rPr>
          <w:rFonts w:hint="eastAsia" w:ascii="宋体" w:hAnsi="宋体" w:eastAsia="宋体" w:cs="宋体"/>
          <w:color w:val="auto"/>
          <w:sz w:val="24"/>
          <w:szCs w:val="24"/>
          <w:highlight w:val="none"/>
          <w:lang w:eastAsia="zh-Hans"/>
        </w:rPr>
        <w:t>样品稀释液溶解，盖好后室温静置大约10分钟。取</w:t>
      </w:r>
      <w:r>
        <w:rPr>
          <w:rFonts w:ascii="宋体" w:hAnsi="宋体" w:eastAsia="宋体" w:cs="宋体"/>
          <w:color w:val="auto"/>
          <w:sz w:val="24"/>
          <w:szCs w:val="24"/>
          <w:highlight w:val="none"/>
          <w:lang w:eastAsia="zh-Hans"/>
        </w:rPr>
        <w:t>7</w:t>
      </w:r>
      <w:r>
        <w:rPr>
          <w:rFonts w:hint="eastAsia" w:ascii="宋体" w:hAnsi="宋体" w:eastAsia="宋体" w:cs="宋体"/>
          <w:color w:val="auto"/>
          <w:sz w:val="24"/>
          <w:szCs w:val="24"/>
          <w:highlight w:val="none"/>
          <w:lang w:eastAsia="zh-Hans"/>
        </w:rPr>
        <w:t>个1.5</w:t>
      </w:r>
      <w:r>
        <w:rPr>
          <w:rFonts w:hint="eastAsia" w:ascii="宋体" w:hAnsi="宋体" w:eastAsia="宋体" w:cs="宋体"/>
          <w:color w:val="auto"/>
          <w:sz w:val="24"/>
          <w:szCs w:val="24"/>
          <w:highlight w:val="none"/>
          <w:lang w:eastAsia="zh-CN"/>
        </w:rPr>
        <w:t>mL</w:t>
      </w:r>
      <w:r>
        <w:rPr>
          <w:rFonts w:hint="eastAsia" w:ascii="宋体" w:hAnsi="宋体" w:eastAsia="宋体" w:cs="宋体"/>
          <w:color w:val="auto"/>
          <w:sz w:val="24"/>
          <w:szCs w:val="24"/>
          <w:highlight w:val="none"/>
          <w:lang w:eastAsia="zh-Hans"/>
        </w:rPr>
        <w:t>离心管</w:t>
      </w:r>
      <w:r>
        <w:rPr>
          <w:rFonts w:ascii="宋体" w:hAnsi="宋体" w:eastAsia="宋体" w:cs="宋体"/>
          <w:color w:val="auto"/>
          <w:sz w:val="24"/>
          <w:szCs w:val="24"/>
          <w:highlight w:val="none"/>
          <w:lang w:eastAsia="zh-Hans"/>
        </w:rPr>
        <w:t>，</w:t>
      </w:r>
      <w:r>
        <w:rPr>
          <w:rFonts w:hint="eastAsia" w:ascii="宋体" w:hAnsi="宋体" w:eastAsia="宋体" w:cs="宋体"/>
          <w:color w:val="auto"/>
          <w:sz w:val="24"/>
          <w:szCs w:val="24"/>
          <w:highlight w:val="none"/>
          <w:lang w:eastAsia="zh-Hans"/>
        </w:rPr>
        <w:t>分别标注S</w:t>
      </w:r>
      <w:r>
        <w:rPr>
          <w:rFonts w:ascii="宋体" w:hAnsi="宋体" w:eastAsia="宋体" w:cs="宋体"/>
          <w:color w:val="auto"/>
          <w:sz w:val="24"/>
          <w:szCs w:val="24"/>
          <w:highlight w:val="none"/>
          <w:lang w:eastAsia="zh-Hans"/>
        </w:rPr>
        <w:t>6</w:t>
      </w:r>
      <w:r>
        <w:rPr>
          <w:rFonts w:hint="eastAsia" w:ascii="宋体" w:hAnsi="宋体" w:eastAsia="宋体" w:cs="宋体"/>
          <w:color w:val="auto"/>
          <w:sz w:val="24"/>
          <w:szCs w:val="24"/>
          <w:highlight w:val="none"/>
          <w:lang w:eastAsia="zh-Hans"/>
        </w:rPr>
        <w:t>,S</w:t>
      </w:r>
      <w:r>
        <w:rPr>
          <w:rFonts w:ascii="宋体" w:hAnsi="宋体" w:eastAsia="宋体" w:cs="宋体"/>
          <w:color w:val="auto"/>
          <w:sz w:val="24"/>
          <w:szCs w:val="24"/>
          <w:highlight w:val="none"/>
          <w:lang w:eastAsia="zh-Hans"/>
        </w:rPr>
        <w:t>5</w:t>
      </w:r>
      <w:r>
        <w:rPr>
          <w:rFonts w:hint="eastAsia" w:ascii="宋体" w:hAnsi="宋体" w:eastAsia="宋体" w:cs="宋体"/>
          <w:color w:val="auto"/>
          <w:sz w:val="24"/>
          <w:szCs w:val="24"/>
          <w:highlight w:val="none"/>
          <w:lang w:eastAsia="zh-Hans"/>
        </w:rPr>
        <w:t>,S4,S</w:t>
      </w:r>
      <w:r>
        <w:rPr>
          <w:rFonts w:ascii="宋体" w:hAnsi="宋体" w:eastAsia="宋体" w:cs="宋体"/>
          <w:color w:val="auto"/>
          <w:sz w:val="24"/>
          <w:szCs w:val="24"/>
          <w:highlight w:val="none"/>
          <w:lang w:eastAsia="zh-Hans"/>
        </w:rPr>
        <w:t>3</w:t>
      </w:r>
      <w:r>
        <w:rPr>
          <w:rFonts w:hint="eastAsia" w:ascii="宋体" w:hAnsi="宋体" w:eastAsia="宋体" w:cs="宋体"/>
          <w:color w:val="auto"/>
          <w:sz w:val="24"/>
          <w:szCs w:val="24"/>
          <w:highlight w:val="none"/>
          <w:lang w:eastAsia="zh-Hans"/>
        </w:rPr>
        <w:t>,S</w:t>
      </w:r>
      <w:r>
        <w:rPr>
          <w:rFonts w:ascii="宋体" w:hAnsi="宋体" w:eastAsia="宋体" w:cs="宋体"/>
          <w:color w:val="auto"/>
          <w:sz w:val="24"/>
          <w:szCs w:val="24"/>
          <w:highlight w:val="none"/>
          <w:lang w:eastAsia="zh-Hans"/>
        </w:rPr>
        <w:t>2,</w:t>
      </w:r>
      <w:r>
        <w:rPr>
          <w:rFonts w:hint="eastAsia" w:ascii="宋体" w:hAnsi="宋体" w:eastAsia="宋体" w:cs="宋体"/>
          <w:color w:val="auto"/>
          <w:sz w:val="24"/>
          <w:szCs w:val="24"/>
          <w:highlight w:val="none"/>
          <w:lang w:eastAsia="zh-Hans"/>
        </w:rPr>
        <w:t>S</w:t>
      </w:r>
      <w:r>
        <w:rPr>
          <w:rFonts w:ascii="宋体" w:hAnsi="宋体" w:eastAsia="宋体" w:cs="宋体"/>
          <w:color w:val="auto"/>
          <w:sz w:val="24"/>
          <w:szCs w:val="24"/>
          <w:highlight w:val="none"/>
          <w:lang w:eastAsia="zh-Hans"/>
        </w:rPr>
        <w:t>1</w:t>
      </w:r>
      <w:r>
        <w:rPr>
          <w:rFonts w:hint="eastAsia" w:ascii="宋体" w:hAnsi="宋体" w:eastAsia="宋体" w:cs="宋体"/>
          <w:color w:val="auto"/>
          <w:sz w:val="24"/>
          <w:szCs w:val="24"/>
          <w:highlight w:val="none"/>
          <w:lang w:eastAsia="zh-Hans"/>
        </w:rPr>
        <w:t>,</w:t>
      </w:r>
      <w:r>
        <w:rPr>
          <w:rFonts w:ascii="宋体" w:hAnsi="宋体" w:eastAsia="宋体" w:cs="宋体"/>
          <w:color w:val="auto"/>
          <w:sz w:val="24"/>
          <w:szCs w:val="24"/>
          <w:highlight w:val="none"/>
          <w:lang w:eastAsia="zh-Hans"/>
        </w:rPr>
        <w:t>S0</w:t>
      </w:r>
      <w:r>
        <w:rPr>
          <w:rFonts w:hint="eastAsia" w:ascii="宋体" w:hAnsi="宋体" w:eastAsia="宋体" w:cs="宋体"/>
          <w:color w:val="auto"/>
          <w:sz w:val="24"/>
          <w:szCs w:val="24"/>
          <w:highlight w:val="none"/>
          <w:lang w:eastAsia="zh-Hans"/>
        </w:rPr>
        <w:t>后每管各加入</w:t>
      </w:r>
      <w:r>
        <w:rPr>
          <w:rFonts w:ascii="宋体" w:hAnsi="宋体" w:eastAsia="宋体" w:cs="宋体"/>
          <w:color w:val="auto"/>
          <w:sz w:val="24"/>
          <w:szCs w:val="24"/>
          <w:highlight w:val="none"/>
          <w:lang w:eastAsia="zh-Hans"/>
        </w:rPr>
        <w:t>250</w:t>
      </w:r>
      <w:r>
        <w:rPr>
          <w:rFonts w:hint="eastAsia" w:ascii="宋体" w:hAnsi="宋体" w:eastAsia="宋体" w:cs="宋体"/>
          <w:color w:val="auto"/>
          <w:sz w:val="24"/>
          <w:szCs w:val="24"/>
          <w:highlight w:val="none"/>
          <w:lang w:eastAsia="zh-CN"/>
        </w:rPr>
        <w:t>μL</w:t>
      </w:r>
      <w:r>
        <w:rPr>
          <w:rFonts w:hint="eastAsia" w:ascii="宋体" w:hAnsi="宋体" w:eastAsia="宋体" w:cs="宋体"/>
          <w:color w:val="auto"/>
          <w:sz w:val="24"/>
          <w:szCs w:val="24"/>
          <w:highlight w:val="none"/>
          <w:lang w:eastAsia="zh-Hans"/>
        </w:rPr>
        <w:t>标准品</w:t>
      </w:r>
      <w:r>
        <w:rPr>
          <w:rFonts w:ascii="宋体" w:hAnsi="宋体" w:eastAsia="宋体" w:cs="宋体"/>
          <w:color w:val="auto"/>
          <w:sz w:val="24"/>
          <w:szCs w:val="24"/>
          <w:highlight w:val="none"/>
        </w:rPr>
        <w:t>&amp;</w:t>
      </w:r>
      <w:r>
        <w:rPr>
          <w:rFonts w:hint="eastAsia" w:ascii="宋体" w:hAnsi="宋体" w:eastAsia="宋体" w:cs="宋体"/>
          <w:color w:val="auto"/>
          <w:sz w:val="24"/>
          <w:szCs w:val="24"/>
          <w:highlight w:val="none"/>
          <w:lang w:eastAsia="zh-Hans"/>
        </w:rPr>
        <w:t>样品稀释液。从S</w:t>
      </w:r>
      <w:r>
        <w:rPr>
          <w:rFonts w:ascii="宋体" w:hAnsi="宋体" w:eastAsia="宋体" w:cs="宋体"/>
          <w:color w:val="auto"/>
          <w:sz w:val="24"/>
          <w:szCs w:val="24"/>
          <w:highlight w:val="none"/>
          <w:lang w:eastAsia="zh-Hans"/>
        </w:rPr>
        <w:t>7</w:t>
      </w:r>
      <w:r>
        <w:rPr>
          <w:rFonts w:hint="eastAsia" w:ascii="宋体" w:hAnsi="宋体" w:eastAsia="宋体" w:cs="宋体"/>
          <w:color w:val="auto"/>
          <w:sz w:val="24"/>
          <w:szCs w:val="24"/>
          <w:highlight w:val="none"/>
          <w:lang w:eastAsia="zh-Hans"/>
        </w:rPr>
        <w:t>中吸取</w:t>
      </w:r>
      <w:r>
        <w:rPr>
          <w:rFonts w:ascii="宋体" w:hAnsi="宋体" w:eastAsia="宋体" w:cs="宋体"/>
          <w:color w:val="auto"/>
          <w:sz w:val="24"/>
          <w:szCs w:val="24"/>
          <w:highlight w:val="none"/>
          <w:lang w:eastAsia="zh-Hans"/>
        </w:rPr>
        <w:t>250</w:t>
      </w:r>
      <w:r>
        <w:rPr>
          <w:rFonts w:hint="eastAsia" w:ascii="宋体" w:hAnsi="宋体" w:eastAsia="宋体" w:cs="宋体"/>
          <w:color w:val="auto"/>
          <w:sz w:val="24"/>
          <w:szCs w:val="24"/>
          <w:highlight w:val="none"/>
          <w:lang w:eastAsia="zh-CN"/>
        </w:rPr>
        <w:t>μL</w:t>
      </w:r>
      <w:r>
        <w:rPr>
          <w:rFonts w:hint="eastAsia" w:ascii="宋体" w:hAnsi="宋体" w:eastAsia="宋体" w:cs="宋体"/>
          <w:color w:val="auto"/>
          <w:sz w:val="24"/>
          <w:szCs w:val="24"/>
          <w:highlight w:val="none"/>
          <w:lang w:eastAsia="zh-Hans"/>
        </w:rPr>
        <w:t>标准品到第一个离心管</w:t>
      </w:r>
      <w:r>
        <w:rPr>
          <w:rFonts w:ascii="宋体" w:hAnsi="宋体" w:eastAsia="宋体" w:cs="宋体"/>
          <w:color w:val="auto"/>
          <w:sz w:val="24"/>
          <w:szCs w:val="24"/>
          <w:highlight w:val="none"/>
          <w:lang w:eastAsia="zh-Hans"/>
        </w:rPr>
        <w:t>S6</w:t>
      </w:r>
      <w:r>
        <w:rPr>
          <w:rFonts w:hint="eastAsia" w:ascii="宋体" w:hAnsi="宋体" w:eastAsia="宋体" w:cs="宋体"/>
          <w:color w:val="auto"/>
          <w:sz w:val="24"/>
          <w:szCs w:val="24"/>
          <w:highlight w:val="none"/>
          <w:lang w:eastAsia="zh-Hans"/>
        </w:rPr>
        <w:t>中，轻轻吹打混匀。从</w:t>
      </w:r>
      <w:r>
        <w:rPr>
          <w:rFonts w:ascii="宋体" w:hAnsi="宋体" w:eastAsia="宋体" w:cs="宋体"/>
          <w:color w:val="auto"/>
          <w:sz w:val="24"/>
          <w:szCs w:val="24"/>
          <w:highlight w:val="none"/>
          <w:lang w:eastAsia="zh-Hans"/>
        </w:rPr>
        <w:t>S6</w:t>
      </w:r>
      <w:r>
        <w:rPr>
          <w:rFonts w:hint="eastAsia" w:ascii="宋体" w:hAnsi="宋体" w:eastAsia="宋体" w:cs="宋体"/>
          <w:color w:val="auto"/>
          <w:sz w:val="24"/>
          <w:szCs w:val="24"/>
          <w:highlight w:val="none"/>
          <w:lang w:eastAsia="zh-Hans"/>
        </w:rPr>
        <w:t>中吸取</w:t>
      </w:r>
      <w:r>
        <w:rPr>
          <w:rFonts w:ascii="宋体" w:hAnsi="宋体" w:eastAsia="宋体" w:cs="宋体"/>
          <w:color w:val="auto"/>
          <w:sz w:val="24"/>
          <w:szCs w:val="24"/>
          <w:highlight w:val="none"/>
          <w:lang w:eastAsia="zh-Hans"/>
        </w:rPr>
        <w:t>250</w:t>
      </w:r>
      <w:r>
        <w:rPr>
          <w:rFonts w:hint="eastAsia" w:ascii="宋体" w:hAnsi="宋体" w:eastAsia="宋体" w:cs="宋体"/>
          <w:color w:val="auto"/>
          <w:sz w:val="24"/>
          <w:szCs w:val="24"/>
          <w:highlight w:val="none"/>
          <w:lang w:eastAsia="zh-CN"/>
        </w:rPr>
        <w:t>μL</w:t>
      </w:r>
      <w:r>
        <w:rPr>
          <w:rFonts w:hint="eastAsia" w:ascii="宋体" w:hAnsi="宋体" w:eastAsia="宋体" w:cs="宋体"/>
          <w:color w:val="auto"/>
          <w:sz w:val="24"/>
          <w:szCs w:val="24"/>
          <w:highlight w:val="none"/>
          <w:lang w:eastAsia="zh-Hans"/>
        </w:rPr>
        <w:t>到第二个</w:t>
      </w:r>
      <w:r>
        <w:rPr>
          <w:rFonts w:ascii="宋体" w:hAnsi="宋体" w:eastAsia="宋体" w:cs="宋体"/>
          <w:color w:val="auto"/>
          <w:sz w:val="24"/>
          <w:szCs w:val="24"/>
          <w:highlight w:val="none"/>
          <w:lang w:eastAsia="zh-Hans"/>
        </w:rPr>
        <w:t>EP</w:t>
      </w:r>
      <w:r>
        <w:rPr>
          <w:rFonts w:hint="eastAsia" w:ascii="宋体" w:hAnsi="宋体" w:eastAsia="宋体" w:cs="宋体"/>
          <w:color w:val="auto"/>
          <w:sz w:val="24"/>
          <w:szCs w:val="24"/>
          <w:highlight w:val="none"/>
          <w:lang w:eastAsia="zh-Hans"/>
        </w:rPr>
        <w:t>管中</w:t>
      </w:r>
      <w:r>
        <w:rPr>
          <w:rFonts w:ascii="宋体" w:hAnsi="宋体" w:eastAsia="宋体" w:cs="宋体"/>
          <w:color w:val="auto"/>
          <w:sz w:val="24"/>
          <w:szCs w:val="24"/>
          <w:highlight w:val="none"/>
          <w:lang w:eastAsia="zh-Hans"/>
        </w:rPr>
        <w:t>(S5)</w:t>
      </w:r>
      <w:r>
        <w:rPr>
          <w:rFonts w:hint="eastAsia" w:ascii="宋体" w:hAnsi="宋体" w:eastAsia="宋体" w:cs="宋体"/>
          <w:color w:val="auto"/>
          <w:sz w:val="24"/>
          <w:szCs w:val="24"/>
          <w:highlight w:val="none"/>
          <w:lang w:eastAsia="zh-Hans"/>
        </w:rPr>
        <w:t>，轻轻吹打混匀。依次倍比稀释</w:t>
      </w:r>
      <w:r>
        <w:rPr>
          <w:rFonts w:hint="eastAsia" w:ascii="宋体" w:hAnsi="宋体" w:eastAsia="宋体" w:cs="宋体"/>
          <w:color w:val="auto"/>
          <w:sz w:val="24"/>
          <w:szCs w:val="24"/>
          <w:highlight w:val="none"/>
        </w:rPr>
        <w:t>浓度为</w:t>
      </w:r>
      <w:r>
        <w:rPr>
          <w:rFonts w:hint="eastAsia" w:ascii="宋体" w:hAnsi="宋体" w:eastAsia="宋体" w:cs="宋体"/>
          <w:color w:val="auto"/>
          <w:sz w:val="24"/>
          <w:szCs w:val="24"/>
          <w:highlight w:val="none"/>
          <w:lang w:val="en-US" w:eastAsia="zh-CN"/>
        </w:rPr>
        <w:t>250 pg/mL</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125 pg/mL</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62.5 pg/mL</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31.25 pg/mL</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15.63 pg/mL</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7.81 pg/mL</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3.9 pg/mL</w:t>
      </w:r>
      <w:r>
        <w:rPr>
          <w:rFonts w:hint="eastAsia" w:ascii="宋体" w:hAnsi="宋体" w:eastAsia="宋体" w:cs="宋体"/>
          <w:color w:val="auto"/>
          <w:sz w:val="24"/>
          <w:szCs w:val="24"/>
          <w:highlight w:val="none"/>
        </w:rPr>
        <w:t>。以此类推进行标准品的倍比稀释。S0为标准品</w:t>
      </w:r>
      <w:r>
        <w:rPr>
          <w:rFonts w:ascii="宋体" w:hAnsi="宋体" w:eastAsia="宋体" w:cs="宋体"/>
          <w:color w:val="auto"/>
          <w:sz w:val="24"/>
          <w:szCs w:val="24"/>
          <w:highlight w:val="none"/>
        </w:rPr>
        <w:t>&amp;</w:t>
      </w:r>
      <w:r>
        <w:rPr>
          <w:rFonts w:hint="eastAsia" w:ascii="宋体" w:hAnsi="宋体" w:eastAsia="宋体" w:cs="宋体"/>
          <w:color w:val="auto"/>
          <w:sz w:val="24"/>
          <w:szCs w:val="24"/>
          <w:highlight w:val="none"/>
          <w:lang w:eastAsia="zh-CN"/>
        </w:rPr>
        <w:t>样品</w:t>
      </w:r>
      <w:r>
        <w:rPr>
          <w:rFonts w:hint="eastAsia" w:ascii="宋体" w:hAnsi="宋体" w:eastAsia="宋体" w:cs="宋体"/>
          <w:color w:val="auto"/>
          <w:sz w:val="24"/>
          <w:szCs w:val="24"/>
          <w:highlight w:val="none"/>
        </w:rPr>
        <w:t>稀释液(0 pg/mL)。</w:t>
      </w:r>
    </w:p>
    <w:p w14:paraId="45CE8A50">
      <w:pPr>
        <w:keepNext w:val="0"/>
        <w:keepLines w:val="0"/>
        <w:pageBreakBefore w:val="0"/>
        <w:widowControl/>
        <w:tabs>
          <w:tab w:val="left" w:pos="860"/>
        </w:tabs>
        <w:kinsoku/>
        <w:wordWrap/>
        <w:overflowPunct/>
        <w:topLinePunct w:val="0"/>
        <w:autoSpaceDE/>
        <w:autoSpaceDN/>
        <w:bidi w:val="0"/>
        <w:adjustRightInd w:val="0"/>
        <w:snapToGrid w:val="0"/>
        <w:spacing w:beforeAutospacing="0" w:after="0" w:afterAutospacing="0" w:line="360" w:lineRule="auto"/>
        <w:jc w:val="both"/>
        <w:textAlignment w:val="auto"/>
        <w:rPr>
          <w:rFonts w:ascii="宋体" w:hAnsi="宋体" w:eastAsia="宋体" w:cs="Arial"/>
          <w:color w:val="auto"/>
          <w:sz w:val="24"/>
          <w:szCs w:val="24"/>
          <w:highlight w:val="none"/>
          <w:lang w:eastAsia="zh-Hans"/>
        </w:rPr>
      </w:pPr>
      <w:r>
        <w:rPr>
          <w:rFonts w:ascii="宋体" w:hAnsi="宋体" w:eastAsia="宋体" w:cs="Arial"/>
          <w:color w:val="auto"/>
          <w:sz w:val="24"/>
          <w:szCs w:val="24"/>
          <w:highlight w:val="none"/>
          <w:lang w:eastAsia="zh-Hans"/>
        </w:rPr>
        <w:drawing>
          <wp:inline distT="0" distB="0" distL="114300" distR="114300">
            <wp:extent cx="5756910" cy="2187575"/>
            <wp:effectExtent l="0" t="0" r="15240" b="3175"/>
            <wp:docPr id="1001" name="图片 2" descr="b8836e7b3c63426b219fcb7dbf839d0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 name="图片 2" descr="b8836e7b3c63426b219fcb7dbf839d0e"/>
                    <pic:cNvPicPr>
                      <a:picLocks noChangeAspect="1"/>
                    </pic:cNvPicPr>
                  </pic:nvPicPr>
                  <pic:blipFill>
                    <a:blip r:embed="rId8"/>
                    <a:srcRect l="-4590" t="20687" r="318" b="27757"/>
                    <a:stretch>
                      <a:fillRect/>
                    </a:stretch>
                  </pic:blipFill>
                  <pic:spPr>
                    <a:xfrm>
                      <a:off x="0" y="0"/>
                      <a:ext cx="5756910" cy="2187575"/>
                    </a:xfrm>
                    <a:prstGeom prst="rect">
                      <a:avLst/>
                    </a:prstGeom>
                  </pic:spPr>
                </pic:pic>
              </a:graphicData>
            </a:graphic>
          </wp:inline>
        </w:drawing>
      </w:r>
    </w:p>
    <w:p w14:paraId="26F56B96">
      <w:pPr>
        <w:keepNext w:val="0"/>
        <w:keepLines w:val="0"/>
        <w:pageBreakBefore w:val="0"/>
        <w:widowControl/>
        <w:numPr>
          <w:ilvl w:val="0"/>
          <w:numId w:val="0"/>
        </w:numPr>
        <w:tabs>
          <w:tab w:val="left" w:pos="860"/>
        </w:tabs>
        <w:kinsoku/>
        <w:wordWrap/>
        <w:overflowPunct/>
        <w:topLinePunct w:val="0"/>
        <w:autoSpaceDE/>
        <w:autoSpaceDN/>
        <w:bidi w:val="0"/>
        <w:adjustRightInd w:val="0"/>
        <w:snapToGrid w:val="0"/>
        <w:spacing w:beforeAutospacing="0" w:after="0" w:afterAutospacing="0" w:line="360" w:lineRule="auto"/>
        <w:ind w:left="440" w:leftChars="0" w:hanging="440" w:hangingChars="200"/>
        <w:jc w:val="both"/>
        <w:textAlignment w:val="auto"/>
        <w:rPr>
          <w:rFonts w:ascii="宋体" w:hAnsi="宋体" w:eastAsia="宋体" w:cs="Arial"/>
          <w:color w:val="auto"/>
          <w:sz w:val="24"/>
          <w:szCs w:val="24"/>
          <w:highlight w:val="none"/>
        </w:rPr>
      </w:pPr>
      <w:r>
        <w:rPr>
          <w:rFonts w:hint="eastAsia"/>
        </w:rPr>
        <w:drawing>
          <wp:anchor distT="0" distB="0" distL="114300" distR="114300" simplePos="0" relativeHeight="251663360" behindDoc="1" locked="0" layoutInCell="1" allowOverlap="1">
            <wp:simplePos x="0" y="0"/>
            <wp:positionH relativeFrom="column">
              <wp:posOffset>-335280</wp:posOffset>
            </wp:positionH>
            <wp:positionV relativeFrom="page">
              <wp:posOffset>955675</wp:posOffset>
            </wp:positionV>
            <wp:extent cx="6737985" cy="8682355"/>
            <wp:effectExtent l="0" t="0" r="13335" b="4445"/>
            <wp:wrapNone/>
            <wp:docPr id="5" name="图片 5" descr="底纹-0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底纹-01-01"/>
                    <pic:cNvPicPr>
                      <a:picLocks noChangeAspect="1"/>
                    </pic:cNvPicPr>
                  </pic:nvPicPr>
                  <pic:blipFill>
                    <a:blip r:embed="rId7"/>
                    <a:stretch>
                      <a:fillRect/>
                    </a:stretch>
                  </pic:blipFill>
                  <pic:spPr>
                    <a:xfrm>
                      <a:off x="0" y="0"/>
                      <a:ext cx="6737985" cy="8682355"/>
                    </a:xfrm>
                    <a:prstGeom prst="rect">
                      <a:avLst/>
                    </a:prstGeom>
                  </pic:spPr>
                </pic:pic>
              </a:graphicData>
            </a:graphic>
          </wp:anchor>
        </w:drawing>
      </w:r>
      <w:r>
        <w:rPr>
          <w:rFonts w:hint="eastAsia" w:ascii="宋体" w:hAnsi="宋体" w:eastAsia="宋体" w:cs="宋体"/>
          <w:color w:val="auto"/>
          <w:sz w:val="24"/>
          <w:szCs w:val="24"/>
          <w:highlight w:val="none"/>
          <w:lang w:val="en-US" w:eastAsia="zh-CN"/>
        </w:rPr>
        <w:t xml:space="preserve">7.4 </w:t>
      </w:r>
      <w:r>
        <w:rPr>
          <w:rFonts w:ascii="宋体" w:hAnsi="宋体" w:eastAsia="宋体" w:cs="宋体"/>
          <w:color w:val="auto"/>
          <w:sz w:val="24"/>
          <w:szCs w:val="24"/>
          <w:highlight w:val="none"/>
        </w:rPr>
        <w:t>生物素</w:t>
      </w:r>
      <w:r>
        <w:rPr>
          <w:rFonts w:hint="eastAsia" w:ascii="宋体" w:hAnsi="宋体" w:eastAsia="宋体" w:cs="宋体"/>
          <w:color w:val="auto"/>
          <w:sz w:val="24"/>
          <w:szCs w:val="24"/>
          <w:highlight w:val="none"/>
          <w:lang w:eastAsia="zh-Hans"/>
        </w:rPr>
        <w:t>标记</w:t>
      </w:r>
      <w:r>
        <w:rPr>
          <w:rFonts w:ascii="宋体" w:hAnsi="宋体" w:eastAsia="宋体" w:cs="宋体"/>
          <w:color w:val="auto"/>
          <w:sz w:val="24"/>
          <w:szCs w:val="24"/>
          <w:highlight w:val="none"/>
        </w:rPr>
        <w:t>抗体工作液配</w:t>
      </w:r>
      <w:r>
        <w:rPr>
          <w:rFonts w:hint="eastAsia" w:ascii="宋体" w:hAnsi="宋体" w:eastAsia="宋体" w:cs="宋体"/>
          <w:color w:val="auto"/>
          <w:sz w:val="24"/>
          <w:szCs w:val="24"/>
          <w:highlight w:val="none"/>
          <w:lang w:eastAsia="zh-Hans"/>
        </w:rPr>
        <w:t>制</w:t>
      </w:r>
      <w:r>
        <w:rPr>
          <w:rFonts w:ascii="宋体" w:hAnsi="宋体" w:eastAsia="宋体" w:cs="宋体"/>
          <w:color w:val="auto"/>
          <w:sz w:val="24"/>
          <w:szCs w:val="24"/>
          <w:highlight w:val="none"/>
        </w:rPr>
        <w:t>：使用前20分钟，以</w:t>
      </w:r>
      <w:r>
        <w:rPr>
          <w:rFonts w:hint="eastAsia" w:ascii="宋体" w:hAnsi="宋体" w:eastAsia="宋体" w:cs="宋体"/>
          <w:color w:val="auto"/>
          <w:sz w:val="24"/>
          <w:szCs w:val="24"/>
          <w:highlight w:val="none"/>
        </w:rPr>
        <w:t>生物素标记抗体</w:t>
      </w:r>
      <w:r>
        <w:rPr>
          <w:rFonts w:ascii="宋体" w:hAnsi="宋体" w:eastAsia="宋体" w:cs="宋体"/>
          <w:color w:val="auto"/>
          <w:sz w:val="24"/>
          <w:szCs w:val="24"/>
          <w:highlight w:val="none"/>
        </w:rPr>
        <w:t>稀释液将100×浓缩</w:t>
      </w:r>
      <w:r>
        <w:rPr>
          <w:rFonts w:hint="eastAsia" w:ascii="宋体" w:hAnsi="宋体" w:eastAsia="宋体" w:cs="宋体"/>
          <w:color w:val="auto"/>
          <w:sz w:val="24"/>
          <w:szCs w:val="24"/>
          <w:highlight w:val="none"/>
        </w:rPr>
        <w:t>生物素标记抗体</w:t>
      </w:r>
      <w:r>
        <w:rPr>
          <w:rFonts w:ascii="宋体" w:hAnsi="宋体" w:eastAsia="宋体" w:cs="宋体"/>
          <w:color w:val="auto"/>
          <w:sz w:val="24"/>
          <w:szCs w:val="24"/>
          <w:highlight w:val="none"/>
        </w:rPr>
        <w:t>稀释成1×工作浓度(例如：10</w:t>
      </w:r>
      <w:r>
        <w:rPr>
          <w:rFonts w:hint="eastAsia" w:ascii="宋体" w:hAnsi="宋体" w:eastAsia="宋体" w:cs="宋体"/>
          <w:color w:val="auto"/>
          <w:sz w:val="24"/>
          <w:szCs w:val="24"/>
          <w:highlight w:val="none"/>
          <w:lang w:eastAsia="zh-CN"/>
        </w:rPr>
        <w:t>μL</w:t>
      </w:r>
      <w:r>
        <w:rPr>
          <w:rFonts w:ascii="宋体" w:hAnsi="宋体" w:eastAsia="宋体" w:cs="宋体"/>
          <w:color w:val="auto"/>
          <w:sz w:val="24"/>
          <w:szCs w:val="24"/>
          <w:highlight w:val="none"/>
        </w:rPr>
        <w:t>浓缩液+990</w:t>
      </w:r>
      <w:r>
        <w:rPr>
          <w:rFonts w:hint="eastAsia" w:ascii="宋体" w:hAnsi="宋体" w:eastAsia="宋体" w:cs="宋体"/>
          <w:color w:val="auto"/>
          <w:sz w:val="24"/>
          <w:szCs w:val="24"/>
          <w:highlight w:val="none"/>
          <w:lang w:eastAsia="zh-CN"/>
        </w:rPr>
        <w:t>μL</w:t>
      </w:r>
      <w:r>
        <w:rPr>
          <w:rFonts w:ascii="宋体" w:hAnsi="宋体" w:eastAsia="宋体" w:cs="宋体"/>
          <w:color w:val="auto"/>
          <w:sz w:val="24"/>
          <w:szCs w:val="24"/>
          <w:highlight w:val="none"/>
        </w:rPr>
        <w:t>稀释液)。根据所需用量配</w:t>
      </w:r>
      <w:r>
        <w:rPr>
          <w:rFonts w:hint="eastAsia" w:ascii="宋体" w:hAnsi="宋体" w:eastAsia="宋体" w:cs="宋体"/>
          <w:color w:val="auto"/>
          <w:sz w:val="24"/>
          <w:szCs w:val="24"/>
          <w:highlight w:val="none"/>
          <w:lang w:val="en-US" w:eastAsia="zh-CN"/>
        </w:rPr>
        <w:t>制</w:t>
      </w:r>
      <w:r>
        <w:rPr>
          <w:rFonts w:ascii="宋体" w:hAnsi="宋体" w:eastAsia="宋体" w:cs="MS PGothic"/>
          <w:color w:val="auto"/>
          <w:sz w:val="24"/>
          <w:szCs w:val="24"/>
          <w:highlight w:val="none"/>
        </w:rPr>
        <w:t>，</w:t>
      </w:r>
      <w:r>
        <w:rPr>
          <w:rFonts w:ascii="宋体" w:hAnsi="宋体" w:eastAsia="宋体" w:cs="宋体"/>
          <w:color w:val="auto"/>
          <w:sz w:val="24"/>
          <w:szCs w:val="24"/>
          <w:highlight w:val="none"/>
        </w:rPr>
        <w:t>当日使用</w:t>
      </w:r>
      <w:r>
        <w:rPr>
          <w:rFonts w:ascii="宋体" w:hAnsi="宋体" w:eastAsia="宋体" w:cs="MS PGothic"/>
          <w:color w:val="auto"/>
          <w:sz w:val="24"/>
          <w:szCs w:val="24"/>
          <w:highlight w:val="none"/>
        </w:rPr>
        <w:t>，</w:t>
      </w:r>
      <w:r>
        <w:rPr>
          <w:rFonts w:ascii="宋体" w:hAnsi="宋体" w:eastAsia="宋体" w:cs="宋体"/>
          <w:color w:val="auto"/>
          <w:sz w:val="24"/>
          <w:szCs w:val="24"/>
          <w:highlight w:val="none"/>
        </w:rPr>
        <w:t>剩余弃之。</w:t>
      </w:r>
    </w:p>
    <w:p w14:paraId="10F4980F">
      <w:pPr>
        <w:keepNext w:val="0"/>
        <w:keepLines w:val="0"/>
        <w:pageBreakBefore w:val="0"/>
        <w:widowControl/>
        <w:numPr>
          <w:ilvl w:val="0"/>
          <w:numId w:val="0"/>
        </w:numPr>
        <w:tabs>
          <w:tab w:val="left" w:pos="860"/>
        </w:tabs>
        <w:kinsoku/>
        <w:wordWrap/>
        <w:overflowPunct/>
        <w:topLinePunct w:val="0"/>
        <w:autoSpaceDE/>
        <w:autoSpaceDN/>
        <w:bidi w:val="0"/>
        <w:adjustRightInd w:val="0"/>
        <w:snapToGrid w:val="0"/>
        <w:spacing w:beforeAutospacing="0" w:after="0" w:afterAutospacing="0" w:line="360" w:lineRule="auto"/>
        <w:ind w:left="439" w:leftChars="0" w:hanging="439" w:hangingChars="183"/>
        <w:jc w:val="both"/>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7.5 </w:t>
      </w:r>
      <w:r>
        <w:rPr>
          <w:rFonts w:hint="eastAsia" w:ascii="宋体" w:hAnsi="宋体" w:eastAsia="宋体" w:cs="宋体"/>
          <w:color w:val="auto"/>
          <w:sz w:val="24"/>
          <w:szCs w:val="24"/>
          <w:highlight w:val="none"/>
          <w:lang w:eastAsia="zh-Hans"/>
        </w:rPr>
        <w:t>酶结合物</w:t>
      </w:r>
      <w:r>
        <w:rPr>
          <w:rFonts w:ascii="宋体" w:hAnsi="宋体" w:eastAsia="宋体" w:cs="宋体"/>
          <w:color w:val="auto"/>
          <w:sz w:val="24"/>
          <w:szCs w:val="24"/>
          <w:highlight w:val="none"/>
        </w:rPr>
        <w:t>工作液配</w:t>
      </w:r>
      <w:r>
        <w:rPr>
          <w:rFonts w:hint="eastAsia" w:ascii="宋体" w:hAnsi="宋体" w:eastAsia="宋体" w:cs="宋体"/>
          <w:color w:val="auto"/>
          <w:sz w:val="24"/>
          <w:szCs w:val="24"/>
          <w:highlight w:val="none"/>
          <w:lang w:eastAsia="zh-Hans"/>
        </w:rPr>
        <w:t>制</w:t>
      </w:r>
      <w:r>
        <w:rPr>
          <w:rFonts w:ascii="宋体" w:hAnsi="宋体" w:eastAsia="宋体" w:cs="宋体"/>
          <w:color w:val="auto"/>
          <w:sz w:val="24"/>
          <w:szCs w:val="24"/>
          <w:highlight w:val="none"/>
        </w:rPr>
        <w:t>：使用前</w:t>
      </w:r>
      <w:r>
        <w:rPr>
          <w:rFonts w:ascii="宋体" w:hAnsi="宋体" w:eastAsia="宋体" w:cs="Arial"/>
          <w:color w:val="auto"/>
          <w:sz w:val="24"/>
          <w:szCs w:val="24"/>
          <w:highlight w:val="none"/>
        </w:rPr>
        <w:t>20</w:t>
      </w:r>
      <w:r>
        <w:rPr>
          <w:rFonts w:ascii="宋体" w:hAnsi="宋体" w:eastAsia="宋体" w:cs="宋体"/>
          <w:color w:val="auto"/>
          <w:sz w:val="24"/>
          <w:szCs w:val="24"/>
          <w:highlight w:val="none"/>
        </w:rPr>
        <w:t>分钟</w:t>
      </w:r>
      <w:r>
        <w:rPr>
          <w:rFonts w:ascii="宋体" w:hAnsi="宋体" w:eastAsia="宋体" w:cs="MS PGothic"/>
          <w:color w:val="auto"/>
          <w:sz w:val="24"/>
          <w:szCs w:val="24"/>
          <w:highlight w:val="none"/>
        </w:rPr>
        <w:t>，</w:t>
      </w:r>
      <w:r>
        <w:rPr>
          <w:rFonts w:ascii="宋体" w:hAnsi="宋体" w:eastAsia="宋体" w:cs="宋体"/>
          <w:color w:val="auto"/>
          <w:sz w:val="24"/>
          <w:szCs w:val="24"/>
          <w:highlight w:val="none"/>
        </w:rPr>
        <w:t>以酶结合物稀释液将100×浓缩酶结合物稀释成1×工作浓度(例如：10</w:t>
      </w:r>
      <w:r>
        <w:rPr>
          <w:rFonts w:hint="eastAsia" w:ascii="宋体" w:hAnsi="宋体" w:eastAsia="宋体" w:cs="宋体"/>
          <w:color w:val="auto"/>
          <w:sz w:val="24"/>
          <w:szCs w:val="24"/>
          <w:highlight w:val="none"/>
          <w:lang w:eastAsia="zh-CN"/>
        </w:rPr>
        <w:t>μL</w:t>
      </w:r>
      <w:r>
        <w:rPr>
          <w:rFonts w:ascii="宋体" w:hAnsi="宋体" w:eastAsia="宋体" w:cs="宋体"/>
          <w:color w:val="auto"/>
          <w:sz w:val="24"/>
          <w:szCs w:val="24"/>
          <w:highlight w:val="none"/>
        </w:rPr>
        <w:t>浓缩液+990</w:t>
      </w:r>
      <w:r>
        <w:rPr>
          <w:rFonts w:hint="eastAsia" w:ascii="宋体" w:hAnsi="宋体" w:eastAsia="宋体" w:cs="宋体"/>
          <w:color w:val="auto"/>
          <w:sz w:val="24"/>
          <w:szCs w:val="24"/>
          <w:highlight w:val="none"/>
          <w:lang w:eastAsia="zh-CN"/>
        </w:rPr>
        <w:t>μL</w:t>
      </w:r>
      <w:r>
        <w:rPr>
          <w:rFonts w:ascii="宋体" w:hAnsi="宋体" w:eastAsia="宋体" w:cs="宋体"/>
          <w:color w:val="auto"/>
          <w:sz w:val="24"/>
          <w:szCs w:val="24"/>
          <w:highlight w:val="none"/>
        </w:rPr>
        <w:t>稀释液)。根据所需用量配</w:t>
      </w:r>
      <w:r>
        <w:rPr>
          <w:rFonts w:hint="eastAsia" w:ascii="宋体" w:hAnsi="宋体" w:eastAsia="宋体" w:cs="宋体"/>
          <w:color w:val="auto"/>
          <w:sz w:val="24"/>
          <w:szCs w:val="24"/>
          <w:highlight w:val="none"/>
          <w:lang w:val="en-US" w:eastAsia="zh-CN"/>
        </w:rPr>
        <w:t>制</w:t>
      </w:r>
      <w:r>
        <w:rPr>
          <w:rFonts w:ascii="宋体" w:hAnsi="宋体" w:eastAsia="宋体" w:cs="MS PGothic"/>
          <w:color w:val="auto"/>
          <w:sz w:val="24"/>
          <w:szCs w:val="24"/>
          <w:highlight w:val="none"/>
        </w:rPr>
        <w:t>，</w:t>
      </w:r>
      <w:r>
        <w:rPr>
          <w:rFonts w:ascii="宋体" w:hAnsi="宋体" w:eastAsia="宋体" w:cs="宋体"/>
          <w:color w:val="auto"/>
          <w:sz w:val="24"/>
          <w:szCs w:val="24"/>
          <w:highlight w:val="none"/>
        </w:rPr>
        <w:t>当日使用</w:t>
      </w:r>
      <w:r>
        <w:rPr>
          <w:rFonts w:ascii="宋体" w:hAnsi="宋体" w:eastAsia="宋体" w:cs="MS PGothic"/>
          <w:color w:val="auto"/>
          <w:sz w:val="24"/>
          <w:szCs w:val="24"/>
          <w:highlight w:val="none"/>
        </w:rPr>
        <w:t>，</w:t>
      </w:r>
      <w:r>
        <w:rPr>
          <w:rFonts w:ascii="宋体" w:hAnsi="宋体" w:eastAsia="宋体" w:cs="宋体"/>
          <w:color w:val="auto"/>
          <w:sz w:val="24"/>
          <w:szCs w:val="24"/>
          <w:highlight w:val="none"/>
        </w:rPr>
        <w:t>剩余弃之。</w:t>
      </w:r>
    </w:p>
    <w:p w14:paraId="62CD8B5C">
      <w:pPr>
        <w:keepNext w:val="0"/>
        <w:keepLines w:val="0"/>
        <w:pageBreakBefore w:val="0"/>
        <w:widowControl/>
        <w:numPr>
          <w:ilvl w:val="0"/>
          <w:numId w:val="0"/>
        </w:numPr>
        <w:tabs>
          <w:tab w:val="left" w:pos="860"/>
        </w:tabs>
        <w:kinsoku/>
        <w:wordWrap/>
        <w:overflowPunct/>
        <w:topLinePunct w:val="0"/>
        <w:autoSpaceDE/>
        <w:autoSpaceDN/>
        <w:bidi w:val="0"/>
        <w:adjustRightInd w:val="0"/>
        <w:snapToGrid w:val="0"/>
        <w:spacing w:beforeAutospacing="0" w:after="0" w:afterAutospacing="0" w:line="360" w:lineRule="auto"/>
        <w:ind w:leftChars="0"/>
        <w:jc w:val="both"/>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7.6 </w:t>
      </w:r>
      <w:r>
        <w:rPr>
          <w:rFonts w:ascii="宋体" w:hAnsi="宋体" w:eastAsia="宋体" w:cs="宋体"/>
          <w:color w:val="auto"/>
          <w:sz w:val="24"/>
          <w:szCs w:val="24"/>
          <w:highlight w:val="none"/>
        </w:rPr>
        <w:t>TMB显色液的配</w:t>
      </w:r>
      <w:r>
        <w:rPr>
          <w:rFonts w:hint="eastAsia" w:ascii="宋体" w:hAnsi="宋体" w:eastAsia="宋体" w:cs="宋体"/>
          <w:color w:val="auto"/>
          <w:sz w:val="24"/>
          <w:szCs w:val="24"/>
          <w:highlight w:val="none"/>
          <w:lang w:eastAsia="zh-Hans"/>
        </w:rPr>
        <w:t>制</w:t>
      </w:r>
      <w:r>
        <w:rPr>
          <w:rFonts w:ascii="宋体" w:hAnsi="宋体" w:eastAsia="宋体" w:cs="宋体"/>
          <w:color w:val="auto"/>
          <w:sz w:val="24"/>
          <w:szCs w:val="24"/>
          <w:highlight w:val="none"/>
        </w:rPr>
        <w:t>：使用前10分钟，将TMB显色液A液和B液1：1混合，避光放置备用。</w:t>
      </w:r>
    </w:p>
    <w:p w14:paraId="0AE692F2">
      <w:pPr>
        <w:keepNext w:val="0"/>
        <w:keepLines w:val="0"/>
        <w:pageBreakBefore w:val="0"/>
        <w:widowControl/>
        <w:numPr>
          <w:ilvl w:val="0"/>
          <w:numId w:val="0"/>
        </w:numPr>
        <w:tabs>
          <w:tab w:val="left" w:pos="860"/>
        </w:tabs>
        <w:kinsoku/>
        <w:wordWrap/>
        <w:overflowPunct/>
        <w:topLinePunct w:val="0"/>
        <w:autoSpaceDE/>
        <w:autoSpaceDN/>
        <w:bidi w:val="0"/>
        <w:adjustRightInd w:val="0"/>
        <w:snapToGrid w:val="0"/>
        <w:spacing w:beforeAutospacing="0" w:after="0" w:afterAutospacing="0" w:line="240" w:lineRule="auto"/>
        <w:ind w:leftChars="0"/>
        <w:jc w:val="both"/>
        <w:textAlignment w:val="auto"/>
        <w:rPr>
          <w:rFonts w:ascii="宋体" w:hAnsi="宋体" w:eastAsia="宋体" w:cs="宋体"/>
          <w:color w:val="auto"/>
          <w:sz w:val="24"/>
          <w:szCs w:val="24"/>
          <w:highlight w:val="none"/>
        </w:rPr>
      </w:pPr>
    </w:p>
    <w:p w14:paraId="26D52B95">
      <w:pPr>
        <w:keepNext w:val="0"/>
        <w:keepLines w:val="0"/>
        <w:pageBreakBefore w:val="0"/>
        <w:widowControl/>
        <w:kinsoku/>
        <w:wordWrap/>
        <w:overflowPunct/>
        <w:topLinePunct w:val="0"/>
        <w:autoSpaceDE/>
        <w:autoSpaceDN/>
        <w:bidi w:val="0"/>
        <w:adjustRightInd w:val="0"/>
        <w:snapToGrid w:val="0"/>
        <w:spacing w:beforeAutospacing="0" w:line="240" w:lineRule="auto"/>
        <w:textAlignment w:val="auto"/>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lang w:val="en-US" w:eastAsia="zh-CN"/>
        </w:rPr>
        <w:t>8、</w:t>
      </w:r>
      <w:r>
        <w:rPr>
          <w:rFonts w:hint="eastAsia" w:ascii="宋体" w:hAnsi="宋体" w:eastAsia="宋体" w:cs="宋体"/>
          <w:b/>
          <w:bCs/>
          <w:color w:val="auto"/>
          <w:sz w:val="28"/>
          <w:szCs w:val="28"/>
          <w:highlight w:val="none"/>
        </w:rPr>
        <w:t>操作步骤</w:t>
      </w:r>
      <w:r>
        <w:rPr>
          <w:rFonts w:hint="eastAsia" w:ascii="宋体" w:hAnsi="宋体" w:eastAsia="宋体" w:cs="宋体"/>
          <w:b/>
          <w:bCs/>
          <w:color w:val="auto"/>
          <w:sz w:val="28"/>
          <w:szCs w:val="28"/>
          <w:highlight w:val="none"/>
          <w:lang w:eastAsia="zh-CN"/>
        </w:rPr>
        <w:t>：</w:t>
      </w:r>
    </w:p>
    <w:p w14:paraId="240BEA0B">
      <w:pPr>
        <w:keepNext w:val="0"/>
        <w:keepLines w:val="0"/>
        <w:pageBreakBefore w:val="0"/>
        <w:widowControl/>
        <w:numPr>
          <w:ilvl w:val="0"/>
          <w:numId w:val="0"/>
        </w:numPr>
        <w:tabs>
          <w:tab w:val="left" w:pos="860"/>
        </w:tabs>
        <w:kinsoku/>
        <w:wordWrap/>
        <w:overflowPunct/>
        <w:topLinePunct w:val="0"/>
        <w:autoSpaceDE/>
        <w:autoSpaceDN/>
        <w:bidi w:val="0"/>
        <w:adjustRightInd w:val="0"/>
        <w:snapToGrid w:val="0"/>
        <w:spacing w:after="0" w:line="360" w:lineRule="auto"/>
        <w:ind w:left="380" w:leftChars="5" w:hanging="369" w:hangingChars="154"/>
        <w:jc w:val="both"/>
        <w:textAlignment w:val="auto"/>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8.1 </w:t>
      </w:r>
      <w:r>
        <w:rPr>
          <w:rFonts w:hint="eastAsia" w:asciiTheme="minorEastAsia" w:hAnsiTheme="minorEastAsia" w:eastAsiaTheme="minorEastAsia" w:cstheme="minorEastAsia"/>
          <w:color w:val="auto"/>
          <w:sz w:val="24"/>
          <w:szCs w:val="24"/>
          <w:highlight w:val="none"/>
        </w:rPr>
        <w:t>加样：分别将样品或不同浓度标准品按照100</w:t>
      </w:r>
      <w:r>
        <w:rPr>
          <w:rFonts w:hint="eastAsia" w:asciiTheme="minorEastAsia" w:hAnsiTheme="minorEastAsia" w:eastAsiaTheme="minorEastAsia" w:cstheme="minorEastAsia"/>
          <w:color w:val="auto"/>
          <w:sz w:val="24"/>
          <w:szCs w:val="24"/>
          <w:highlight w:val="none"/>
          <w:lang w:eastAsia="zh-CN"/>
        </w:rPr>
        <w:t>μL</w:t>
      </w:r>
      <w:r>
        <w:rPr>
          <w:rFonts w:hint="eastAsia" w:asciiTheme="minorEastAsia" w:hAnsiTheme="minorEastAsia" w:eastAsiaTheme="minorEastAsia" w:cstheme="minorEastAsia"/>
          <w:color w:val="auto"/>
          <w:sz w:val="24"/>
          <w:szCs w:val="24"/>
          <w:highlight w:val="none"/>
        </w:rPr>
        <w:t>每孔加入相应孔中，空白孔加入100</w:t>
      </w:r>
      <w:r>
        <w:rPr>
          <w:rFonts w:hint="eastAsia" w:asciiTheme="minorEastAsia" w:hAnsiTheme="minorEastAsia" w:eastAsiaTheme="minorEastAsia" w:cstheme="minorEastAsia"/>
          <w:color w:val="auto"/>
          <w:sz w:val="24"/>
          <w:szCs w:val="24"/>
          <w:highlight w:val="none"/>
          <w:lang w:eastAsia="zh-CN"/>
        </w:rPr>
        <w:t>μL</w:t>
      </w:r>
      <w:r>
        <w:rPr>
          <w:rFonts w:hint="eastAsia" w:asciiTheme="minorEastAsia" w:hAnsiTheme="minorEastAsia" w:eastAsiaTheme="minorEastAsia" w:cstheme="minorEastAsia"/>
          <w:color w:val="auto"/>
          <w:sz w:val="24"/>
          <w:szCs w:val="24"/>
          <w:highlight w:val="none"/>
        </w:rPr>
        <w:t>标准品</w:t>
      </w:r>
      <w:r>
        <w:rPr>
          <w:rFonts w:hint="eastAsia" w:asciiTheme="minorEastAsia" w:hAnsiTheme="minorEastAsia" w:eastAsiaTheme="minorEastAsia" w:cstheme="minorEastAsia"/>
          <w:color w:val="auto"/>
          <w:sz w:val="24"/>
          <w:szCs w:val="24"/>
          <w:highlight w:val="none"/>
          <w:lang w:val="en-US" w:eastAsia="zh-CN"/>
        </w:rPr>
        <w:t>&amp;</w:t>
      </w:r>
      <w:r>
        <w:rPr>
          <w:rFonts w:hint="eastAsia" w:asciiTheme="minorEastAsia" w:hAnsiTheme="minorEastAsia" w:eastAsiaTheme="minorEastAsia" w:cstheme="minorEastAsia"/>
          <w:color w:val="auto"/>
          <w:sz w:val="24"/>
          <w:szCs w:val="24"/>
          <w:highlight w:val="none"/>
        </w:rPr>
        <w:t>样品稀释液。盖上封板膜后37℃温育60分钟。（</w:t>
      </w:r>
      <w:r>
        <w:rPr>
          <w:rFonts w:hint="eastAsia" w:asciiTheme="minorEastAsia" w:hAnsiTheme="minorEastAsia" w:eastAsiaTheme="minorEastAsia" w:cstheme="minorEastAsia"/>
          <w:b/>
          <w:bCs/>
          <w:color w:val="auto"/>
          <w:sz w:val="24"/>
          <w:szCs w:val="24"/>
          <w:highlight w:val="none"/>
        </w:rPr>
        <w:t>建议：将待测</w:t>
      </w:r>
      <w:r>
        <w:rPr>
          <w:rFonts w:hint="eastAsia" w:asciiTheme="minorEastAsia" w:hAnsiTheme="minorEastAsia" w:eastAsiaTheme="minorEastAsia" w:cstheme="minorEastAsia"/>
          <w:b/>
          <w:bCs/>
          <w:color w:val="auto"/>
          <w:sz w:val="24"/>
          <w:szCs w:val="24"/>
          <w:highlight w:val="none"/>
          <w:lang w:eastAsia="zh-CN"/>
        </w:rPr>
        <w:t>样品</w:t>
      </w:r>
      <w:r>
        <w:rPr>
          <w:rFonts w:hint="eastAsia" w:asciiTheme="minorEastAsia" w:hAnsiTheme="minorEastAsia" w:eastAsiaTheme="minorEastAsia" w:cstheme="minorEastAsia"/>
          <w:b/>
          <w:bCs/>
          <w:color w:val="auto"/>
          <w:sz w:val="24"/>
          <w:szCs w:val="24"/>
          <w:highlight w:val="none"/>
        </w:rPr>
        <w:t>用标准品&amp;样品稀释液最低稀释1倍后再加入酶标板内测试。从而减少基质效应对测试结果的影响，最后计算</w:t>
      </w:r>
      <w:r>
        <w:rPr>
          <w:rFonts w:hint="eastAsia" w:asciiTheme="minorEastAsia" w:hAnsiTheme="minorEastAsia" w:eastAsiaTheme="minorEastAsia" w:cstheme="minorEastAsia"/>
          <w:b/>
          <w:bCs/>
          <w:color w:val="auto"/>
          <w:sz w:val="24"/>
          <w:szCs w:val="24"/>
          <w:highlight w:val="none"/>
          <w:lang w:eastAsia="zh-CN"/>
        </w:rPr>
        <w:t>样品</w:t>
      </w:r>
      <w:r>
        <w:rPr>
          <w:rFonts w:hint="eastAsia" w:asciiTheme="minorEastAsia" w:hAnsiTheme="minorEastAsia" w:eastAsiaTheme="minorEastAsia" w:cstheme="minorEastAsia"/>
          <w:b/>
          <w:bCs/>
          <w:color w:val="auto"/>
          <w:sz w:val="24"/>
          <w:szCs w:val="24"/>
          <w:highlight w:val="none"/>
        </w:rPr>
        <w:t>浓度时需乘以对应的稀释倍数</w:t>
      </w:r>
      <w:r>
        <w:rPr>
          <w:rFonts w:hint="eastAsia" w:asciiTheme="minorEastAsia" w:hAnsiTheme="minorEastAsia" w:eastAsiaTheme="minorEastAsia" w:cstheme="minorEastAsia"/>
          <w:color w:val="auto"/>
          <w:sz w:val="24"/>
          <w:szCs w:val="24"/>
          <w:highlight w:val="none"/>
        </w:rPr>
        <w:t>。</w:t>
      </w:r>
      <w:r>
        <w:rPr>
          <w:rFonts w:hint="default" w:asciiTheme="minorEastAsia" w:hAnsiTheme="minorEastAsia" w:eastAsiaTheme="minorEastAsia" w:cstheme="minorEastAsia"/>
          <w:color w:val="auto"/>
          <w:sz w:val="24"/>
          <w:szCs w:val="24"/>
          <w:highlight w:val="none"/>
          <w:lang w:val="en-US"/>
        </w:rPr>
        <w:t>)</w:t>
      </w:r>
    </w:p>
    <w:p w14:paraId="77D84344">
      <w:pPr>
        <w:keepNext w:val="0"/>
        <w:keepLines w:val="0"/>
        <w:pageBreakBefore w:val="0"/>
        <w:widowControl/>
        <w:numPr>
          <w:ilvl w:val="0"/>
          <w:numId w:val="0"/>
        </w:numPr>
        <w:tabs>
          <w:tab w:val="left" w:pos="860"/>
        </w:tabs>
        <w:kinsoku/>
        <w:wordWrap/>
        <w:overflowPunct/>
        <w:topLinePunct w:val="0"/>
        <w:autoSpaceDE/>
        <w:autoSpaceDN/>
        <w:bidi w:val="0"/>
        <w:adjustRightInd w:val="0"/>
        <w:snapToGrid w:val="0"/>
        <w:spacing w:after="0" w:line="360" w:lineRule="auto"/>
        <w:ind w:left="11" w:leftChars="0"/>
        <w:jc w:val="both"/>
        <w:textAlignment w:val="auto"/>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8.2 </w:t>
      </w:r>
      <w:r>
        <w:rPr>
          <w:rFonts w:hint="eastAsia" w:asciiTheme="minorEastAsia" w:hAnsiTheme="minorEastAsia" w:eastAsiaTheme="minorEastAsia" w:cstheme="minorEastAsia"/>
          <w:color w:val="auto"/>
          <w:sz w:val="24"/>
          <w:szCs w:val="24"/>
          <w:highlight w:val="none"/>
        </w:rPr>
        <w:t>弃液：弃去液体，甩干，不用洗涤。</w:t>
      </w:r>
    </w:p>
    <w:p w14:paraId="67738FFE">
      <w:pPr>
        <w:keepNext w:val="0"/>
        <w:keepLines w:val="0"/>
        <w:pageBreakBefore w:val="0"/>
        <w:widowControl/>
        <w:numPr>
          <w:ilvl w:val="0"/>
          <w:numId w:val="0"/>
        </w:numPr>
        <w:tabs>
          <w:tab w:val="left" w:pos="860"/>
        </w:tabs>
        <w:kinsoku/>
        <w:wordWrap/>
        <w:overflowPunct/>
        <w:topLinePunct w:val="0"/>
        <w:autoSpaceDE/>
        <w:autoSpaceDN/>
        <w:bidi w:val="0"/>
        <w:adjustRightInd w:val="0"/>
        <w:snapToGrid w:val="0"/>
        <w:spacing w:after="0" w:line="360" w:lineRule="auto"/>
        <w:ind w:left="399" w:leftChars="5" w:hanging="388" w:hangingChars="162"/>
        <w:jc w:val="both"/>
        <w:textAlignment w:val="auto"/>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8.3 </w:t>
      </w:r>
      <w:r>
        <w:rPr>
          <w:rFonts w:hint="eastAsia" w:asciiTheme="minorEastAsia" w:hAnsiTheme="minorEastAsia" w:eastAsiaTheme="minorEastAsia" w:cstheme="minorEastAsia"/>
          <w:color w:val="auto"/>
          <w:sz w:val="24"/>
          <w:szCs w:val="24"/>
          <w:highlight w:val="none"/>
          <w:lang w:eastAsia="zh-Hans"/>
        </w:rPr>
        <w:t>加生物素标记抗体：每孔加入100</w:t>
      </w:r>
      <w:r>
        <w:rPr>
          <w:rFonts w:hint="eastAsia" w:asciiTheme="minorEastAsia" w:hAnsiTheme="minorEastAsia" w:eastAsiaTheme="minorEastAsia" w:cstheme="minorEastAsia"/>
          <w:color w:val="auto"/>
          <w:sz w:val="24"/>
          <w:szCs w:val="24"/>
          <w:highlight w:val="none"/>
          <w:lang w:eastAsia="zh-CN"/>
        </w:rPr>
        <w:t>μL</w:t>
      </w:r>
      <w:r>
        <w:rPr>
          <w:rFonts w:hint="eastAsia" w:asciiTheme="minorEastAsia" w:hAnsiTheme="minorEastAsia" w:eastAsiaTheme="minorEastAsia" w:cstheme="minorEastAsia"/>
          <w:color w:val="auto"/>
          <w:sz w:val="24"/>
          <w:szCs w:val="24"/>
          <w:highlight w:val="none"/>
          <w:lang w:eastAsia="zh-Hans"/>
        </w:rPr>
        <w:t>生物素标记抗体工作液，混匀后置37℃温育60分钟。</w:t>
      </w:r>
    </w:p>
    <w:p w14:paraId="62AC232D">
      <w:pPr>
        <w:keepNext w:val="0"/>
        <w:keepLines w:val="0"/>
        <w:pageBreakBefore w:val="0"/>
        <w:widowControl/>
        <w:numPr>
          <w:ilvl w:val="0"/>
          <w:numId w:val="0"/>
        </w:numPr>
        <w:tabs>
          <w:tab w:val="left" w:pos="860"/>
        </w:tabs>
        <w:kinsoku/>
        <w:wordWrap/>
        <w:overflowPunct/>
        <w:topLinePunct w:val="0"/>
        <w:autoSpaceDE/>
        <w:autoSpaceDN/>
        <w:bidi w:val="0"/>
        <w:adjustRightInd w:val="0"/>
        <w:snapToGrid w:val="0"/>
        <w:spacing w:after="0" w:line="360" w:lineRule="auto"/>
        <w:ind w:left="399" w:leftChars="5" w:hanging="388" w:hangingChars="162"/>
        <w:jc w:val="both"/>
        <w:textAlignment w:val="auto"/>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8.4</w:t>
      </w:r>
      <w:r>
        <w:rPr>
          <w:rFonts w:hint="eastAsia" w:asciiTheme="minorEastAsia" w:hAnsiTheme="minorEastAsia" w:eastAsiaTheme="minorEastAsia" w:cstheme="minorEastAsia"/>
          <w:color w:val="auto"/>
          <w:sz w:val="24"/>
          <w:szCs w:val="24"/>
          <w:highlight w:val="none"/>
        </w:rPr>
        <w:t>洗板：用1×洗涤液将反应板充分洗涤4-6次，每孔加入350</w:t>
      </w:r>
      <w:r>
        <w:rPr>
          <w:rFonts w:hint="eastAsia" w:asciiTheme="minorEastAsia" w:hAnsiTheme="minorEastAsia" w:eastAsiaTheme="minorEastAsia" w:cstheme="minorEastAsia"/>
          <w:color w:val="auto"/>
          <w:sz w:val="24"/>
          <w:szCs w:val="24"/>
          <w:highlight w:val="none"/>
          <w:lang w:eastAsia="zh-CN"/>
        </w:rPr>
        <w:t>μL</w:t>
      </w:r>
      <w:r>
        <w:rPr>
          <w:rFonts w:hint="eastAsia" w:asciiTheme="minorEastAsia" w:hAnsiTheme="minorEastAsia" w:eastAsiaTheme="minorEastAsia" w:cstheme="minorEastAsia"/>
          <w:color w:val="auto"/>
          <w:sz w:val="24"/>
          <w:szCs w:val="24"/>
          <w:highlight w:val="none"/>
        </w:rPr>
        <w:t xml:space="preserve"> 1×洗</w:t>
      </w:r>
      <w:r>
        <w:rPr>
          <w:rFonts w:hint="eastAsia" w:asciiTheme="minorEastAsia" w:hAnsiTheme="minorEastAsia" w:eastAsiaTheme="minorEastAsia" w:cstheme="minorEastAsia"/>
          <w:color w:val="auto"/>
          <w:sz w:val="24"/>
          <w:szCs w:val="24"/>
          <w:highlight w:val="none"/>
          <w:lang w:val="en-US" w:eastAsia="zh-CN"/>
        </w:rPr>
        <w:t>涤</w:t>
      </w:r>
      <w:r>
        <w:rPr>
          <w:rFonts w:hint="eastAsia" w:asciiTheme="minorEastAsia" w:hAnsiTheme="minorEastAsia" w:eastAsiaTheme="minorEastAsia" w:cstheme="minorEastAsia"/>
          <w:color w:val="auto"/>
          <w:sz w:val="24"/>
          <w:szCs w:val="24"/>
          <w:highlight w:val="none"/>
        </w:rPr>
        <w:t>液，每次震荡/浸泡1-2分钟，在滤纸上拍干。</w:t>
      </w:r>
    </w:p>
    <w:p w14:paraId="4E4B2AA3">
      <w:pPr>
        <w:keepNext w:val="0"/>
        <w:keepLines w:val="0"/>
        <w:pageBreakBefore w:val="0"/>
        <w:widowControl/>
        <w:numPr>
          <w:ilvl w:val="0"/>
          <w:numId w:val="0"/>
        </w:numPr>
        <w:tabs>
          <w:tab w:val="left" w:pos="860"/>
        </w:tabs>
        <w:kinsoku/>
        <w:wordWrap/>
        <w:overflowPunct/>
        <w:topLinePunct w:val="0"/>
        <w:autoSpaceDE/>
        <w:autoSpaceDN/>
        <w:bidi w:val="0"/>
        <w:adjustRightInd w:val="0"/>
        <w:snapToGrid w:val="0"/>
        <w:spacing w:after="0" w:line="360" w:lineRule="auto"/>
        <w:ind w:left="11" w:leftChars="0"/>
        <w:jc w:val="both"/>
        <w:textAlignment w:val="auto"/>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8.5 </w:t>
      </w:r>
      <w:r>
        <w:rPr>
          <w:rFonts w:hint="eastAsia" w:asciiTheme="minorEastAsia" w:hAnsiTheme="minorEastAsia" w:eastAsiaTheme="minorEastAsia" w:cstheme="minorEastAsia"/>
          <w:color w:val="auto"/>
          <w:sz w:val="24"/>
          <w:szCs w:val="24"/>
          <w:highlight w:val="none"/>
        </w:rPr>
        <w:t>加酶结合物：每孔加入100</w:t>
      </w:r>
      <w:r>
        <w:rPr>
          <w:rFonts w:hint="eastAsia" w:asciiTheme="minorEastAsia" w:hAnsiTheme="minorEastAsia" w:eastAsiaTheme="minorEastAsia" w:cstheme="minorEastAsia"/>
          <w:color w:val="auto"/>
          <w:sz w:val="24"/>
          <w:szCs w:val="24"/>
          <w:highlight w:val="none"/>
          <w:lang w:eastAsia="zh-CN"/>
        </w:rPr>
        <w:t>μL</w:t>
      </w:r>
      <w:r>
        <w:rPr>
          <w:rFonts w:hint="eastAsia" w:asciiTheme="minorEastAsia" w:hAnsiTheme="minorEastAsia" w:eastAsiaTheme="minorEastAsia" w:cstheme="minorEastAsia"/>
          <w:color w:val="auto"/>
          <w:sz w:val="24"/>
          <w:szCs w:val="24"/>
          <w:highlight w:val="none"/>
        </w:rPr>
        <w:t>酶结合物工作液，混匀后置37℃温育30分钟。</w:t>
      </w:r>
    </w:p>
    <w:p w14:paraId="7D56D28B">
      <w:pPr>
        <w:keepNext w:val="0"/>
        <w:keepLines w:val="0"/>
        <w:pageBreakBefore w:val="0"/>
        <w:widowControl/>
        <w:numPr>
          <w:ilvl w:val="0"/>
          <w:numId w:val="0"/>
        </w:numPr>
        <w:tabs>
          <w:tab w:val="left" w:pos="860"/>
        </w:tabs>
        <w:kinsoku/>
        <w:wordWrap/>
        <w:overflowPunct/>
        <w:topLinePunct w:val="0"/>
        <w:autoSpaceDE/>
        <w:autoSpaceDN/>
        <w:bidi w:val="0"/>
        <w:adjustRightInd w:val="0"/>
        <w:snapToGrid w:val="0"/>
        <w:spacing w:after="0" w:line="360" w:lineRule="auto"/>
        <w:ind w:left="11" w:leftChars="0"/>
        <w:jc w:val="both"/>
        <w:textAlignment w:val="auto"/>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8.6 </w:t>
      </w:r>
      <w:r>
        <w:rPr>
          <w:rFonts w:hint="eastAsia" w:asciiTheme="minorEastAsia" w:hAnsiTheme="minorEastAsia" w:eastAsiaTheme="minorEastAsia" w:cstheme="minorEastAsia"/>
          <w:color w:val="auto"/>
          <w:sz w:val="24"/>
          <w:szCs w:val="24"/>
          <w:highlight w:val="none"/>
        </w:rPr>
        <w:t>洗板：同步骤4。</w:t>
      </w:r>
    </w:p>
    <w:p w14:paraId="37817D0F">
      <w:pPr>
        <w:keepNext w:val="0"/>
        <w:keepLines w:val="0"/>
        <w:pageBreakBefore w:val="0"/>
        <w:widowControl/>
        <w:numPr>
          <w:ilvl w:val="0"/>
          <w:numId w:val="0"/>
        </w:numPr>
        <w:tabs>
          <w:tab w:val="left" w:pos="860"/>
        </w:tabs>
        <w:kinsoku/>
        <w:wordWrap/>
        <w:overflowPunct/>
        <w:topLinePunct w:val="0"/>
        <w:autoSpaceDE/>
        <w:autoSpaceDN/>
        <w:bidi w:val="0"/>
        <w:adjustRightInd w:val="0"/>
        <w:snapToGrid w:val="0"/>
        <w:spacing w:after="0" w:line="360" w:lineRule="auto"/>
        <w:ind w:left="396" w:leftChars="5" w:hanging="385" w:hangingChars="175"/>
        <w:jc w:val="both"/>
        <w:textAlignment w:val="auto"/>
        <w:rPr>
          <w:rFonts w:asciiTheme="minorEastAsia" w:hAnsiTheme="minorEastAsia" w:eastAsiaTheme="minorEastAsia" w:cstheme="minorEastAsia"/>
          <w:color w:val="auto"/>
          <w:sz w:val="24"/>
          <w:szCs w:val="24"/>
          <w:highlight w:val="none"/>
        </w:rPr>
      </w:pPr>
      <w:r>
        <w:rPr>
          <w:rFonts w:hint="eastAsia"/>
        </w:rPr>
        <w:drawing>
          <wp:anchor distT="0" distB="0" distL="114300" distR="114300" simplePos="0" relativeHeight="251662336" behindDoc="1" locked="0" layoutInCell="1" allowOverlap="1">
            <wp:simplePos x="0" y="0"/>
            <wp:positionH relativeFrom="column">
              <wp:posOffset>-335280</wp:posOffset>
            </wp:positionH>
            <wp:positionV relativeFrom="page">
              <wp:posOffset>955675</wp:posOffset>
            </wp:positionV>
            <wp:extent cx="6737985" cy="8682355"/>
            <wp:effectExtent l="0" t="0" r="13335" b="4445"/>
            <wp:wrapNone/>
            <wp:docPr id="3" name="图片 3" descr="底纹-0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底纹-01-01"/>
                    <pic:cNvPicPr>
                      <a:picLocks noChangeAspect="1"/>
                    </pic:cNvPicPr>
                  </pic:nvPicPr>
                  <pic:blipFill>
                    <a:blip r:embed="rId7"/>
                    <a:stretch>
                      <a:fillRect/>
                    </a:stretch>
                  </pic:blipFill>
                  <pic:spPr>
                    <a:xfrm>
                      <a:off x="0" y="0"/>
                      <a:ext cx="6737985" cy="8682355"/>
                    </a:xfrm>
                    <a:prstGeom prst="rect">
                      <a:avLst/>
                    </a:prstGeom>
                  </pic:spPr>
                </pic:pic>
              </a:graphicData>
            </a:graphic>
          </wp:anchor>
        </w:drawing>
      </w:r>
      <w:r>
        <w:rPr>
          <w:rFonts w:hint="eastAsia" w:asciiTheme="minorEastAsia" w:hAnsiTheme="minorEastAsia" w:eastAsiaTheme="minorEastAsia" w:cstheme="minorEastAsia"/>
          <w:color w:val="auto"/>
          <w:sz w:val="24"/>
          <w:szCs w:val="24"/>
          <w:highlight w:val="none"/>
          <w:lang w:val="en-US" w:eastAsia="zh-CN"/>
        </w:rPr>
        <w:t xml:space="preserve">8.7 </w:t>
      </w:r>
      <w:r>
        <w:rPr>
          <w:rFonts w:hint="eastAsia" w:asciiTheme="minorEastAsia" w:hAnsiTheme="minorEastAsia" w:eastAsiaTheme="minorEastAsia" w:cstheme="minorEastAsia"/>
          <w:color w:val="auto"/>
          <w:sz w:val="24"/>
          <w:szCs w:val="24"/>
          <w:highlight w:val="none"/>
        </w:rPr>
        <w:t>加显色液：每孔加入提前配</w:t>
      </w:r>
      <w:r>
        <w:rPr>
          <w:rFonts w:hint="eastAsia" w:asciiTheme="minorEastAsia" w:hAnsiTheme="minorEastAsia" w:eastAsiaTheme="minorEastAsia" w:cstheme="minorEastAsia"/>
          <w:color w:val="auto"/>
          <w:sz w:val="24"/>
          <w:szCs w:val="24"/>
          <w:highlight w:val="none"/>
          <w:lang w:val="en-US" w:eastAsia="zh-CN"/>
        </w:rPr>
        <w:t>制</w:t>
      </w:r>
      <w:r>
        <w:rPr>
          <w:rFonts w:hint="eastAsia" w:asciiTheme="minorEastAsia" w:hAnsiTheme="minorEastAsia" w:eastAsiaTheme="minorEastAsia" w:cstheme="minorEastAsia"/>
          <w:color w:val="auto"/>
          <w:sz w:val="24"/>
          <w:szCs w:val="24"/>
          <w:highlight w:val="none"/>
        </w:rPr>
        <w:t>好的100</w:t>
      </w:r>
      <w:r>
        <w:rPr>
          <w:rFonts w:hint="eastAsia" w:asciiTheme="minorEastAsia" w:hAnsiTheme="minorEastAsia" w:eastAsiaTheme="minorEastAsia" w:cstheme="minorEastAsia"/>
          <w:color w:val="auto"/>
          <w:sz w:val="24"/>
          <w:szCs w:val="24"/>
          <w:highlight w:val="none"/>
          <w:lang w:eastAsia="zh-CN"/>
        </w:rPr>
        <w:t>μL</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TMB混合液，混匀后置37℃暗处反应10-20分钟（具体显色时间根据显色结果而定）。</w:t>
      </w:r>
    </w:p>
    <w:p w14:paraId="2298D1CD">
      <w:pPr>
        <w:keepNext w:val="0"/>
        <w:keepLines w:val="0"/>
        <w:pageBreakBefore w:val="0"/>
        <w:widowControl/>
        <w:numPr>
          <w:ilvl w:val="0"/>
          <w:numId w:val="0"/>
        </w:numPr>
        <w:tabs>
          <w:tab w:val="left" w:pos="860"/>
        </w:tabs>
        <w:kinsoku/>
        <w:wordWrap/>
        <w:overflowPunct/>
        <w:topLinePunct w:val="0"/>
        <w:autoSpaceDE/>
        <w:autoSpaceDN/>
        <w:bidi w:val="0"/>
        <w:adjustRightInd w:val="0"/>
        <w:snapToGrid w:val="0"/>
        <w:spacing w:after="0" w:line="360" w:lineRule="auto"/>
        <w:ind w:left="361" w:leftChars="5" w:hanging="350" w:hangingChars="146"/>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8.8 </w:t>
      </w:r>
      <w:r>
        <w:rPr>
          <w:rFonts w:hint="eastAsia" w:asciiTheme="minorEastAsia" w:hAnsiTheme="minorEastAsia" w:eastAsiaTheme="minorEastAsia" w:cstheme="minorEastAsia"/>
          <w:color w:val="auto"/>
          <w:sz w:val="24"/>
          <w:szCs w:val="24"/>
          <w:highlight w:val="none"/>
        </w:rPr>
        <w:t>加终止液：每孔加入50</w:t>
      </w:r>
      <w:r>
        <w:rPr>
          <w:rFonts w:hint="eastAsia" w:asciiTheme="minorEastAsia" w:hAnsiTheme="minorEastAsia" w:eastAsiaTheme="minorEastAsia" w:cstheme="minorEastAsia"/>
          <w:color w:val="auto"/>
          <w:sz w:val="24"/>
          <w:szCs w:val="24"/>
          <w:highlight w:val="none"/>
          <w:lang w:eastAsia="zh-CN"/>
        </w:rPr>
        <w:t>μL</w:t>
      </w:r>
      <w:r>
        <w:rPr>
          <w:rFonts w:hint="eastAsia" w:asciiTheme="minorEastAsia" w:hAnsiTheme="minorEastAsia" w:eastAsiaTheme="minorEastAsia" w:cstheme="minorEastAsia"/>
          <w:color w:val="auto"/>
          <w:sz w:val="24"/>
          <w:szCs w:val="24"/>
          <w:highlight w:val="none"/>
        </w:rPr>
        <w:t>终止液，混匀，终止反应。（提示：终止液的加入顺序应尽量与底物溶液的加入顺序相同。）立即用酶标仪在450nm波长测量各孔的光密度(OD值)。</w:t>
      </w:r>
    </w:p>
    <w:p w14:paraId="047FF0D1">
      <w:pPr>
        <w:keepNext w:val="0"/>
        <w:keepLines w:val="0"/>
        <w:pageBreakBefore w:val="0"/>
        <w:widowControl/>
        <w:numPr>
          <w:ilvl w:val="0"/>
          <w:numId w:val="0"/>
        </w:numPr>
        <w:tabs>
          <w:tab w:val="left" w:pos="860"/>
        </w:tabs>
        <w:kinsoku/>
        <w:wordWrap/>
        <w:overflowPunct/>
        <w:topLinePunct w:val="0"/>
        <w:autoSpaceDE/>
        <w:autoSpaceDN/>
        <w:bidi w:val="0"/>
        <w:adjustRightInd w:val="0"/>
        <w:snapToGrid w:val="0"/>
        <w:spacing w:after="0" w:line="360" w:lineRule="auto"/>
        <w:ind w:left="361" w:leftChars="5" w:hanging="350" w:hangingChars="146"/>
        <w:jc w:val="both"/>
        <w:textAlignment w:val="auto"/>
        <w:rPr>
          <w:rFonts w:hint="eastAsia" w:asciiTheme="minorEastAsia" w:hAnsiTheme="minorEastAsia" w:eastAsiaTheme="minorEastAsia" w:cstheme="minorEastAsia"/>
          <w:color w:val="auto"/>
          <w:sz w:val="24"/>
          <w:szCs w:val="24"/>
          <w:highlight w:val="none"/>
        </w:rPr>
      </w:pPr>
    </w:p>
    <w:p w14:paraId="19129CA3">
      <w:pPr>
        <w:keepNext w:val="0"/>
        <w:keepLines w:val="0"/>
        <w:pageBreakBefore w:val="0"/>
        <w:widowControl/>
        <w:kinsoku/>
        <w:wordWrap/>
        <w:overflowPunct/>
        <w:topLinePunct w:val="0"/>
        <w:autoSpaceDE/>
        <w:autoSpaceDN/>
        <w:bidi w:val="0"/>
        <w:adjustRightInd w:val="0"/>
        <w:snapToGrid w:val="0"/>
        <w:spacing w:before="120" w:beforeAutospacing="0" w:after="120" w:afterAutospacing="0" w:line="360" w:lineRule="auto"/>
        <w:textAlignment w:val="auto"/>
        <w:rPr>
          <w:rFonts w:hint="eastAsia" w:asciiTheme="minorEastAsia" w:hAnsiTheme="minorEastAsia" w:eastAsiaTheme="minorEastAsia" w:cstheme="minorEastAsia"/>
          <w:b/>
          <w:bCs/>
          <w:color w:val="auto"/>
          <w:sz w:val="28"/>
          <w:szCs w:val="28"/>
          <w:highlight w:val="none"/>
          <w:lang w:eastAsia="zh-CN"/>
        </w:rPr>
      </w:pPr>
      <w:r>
        <w:rPr>
          <w:rFonts w:hint="eastAsia" w:asciiTheme="minorEastAsia" w:hAnsiTheme="minorEastAsia" w:eastAsiaTheme="minorEastAsia" w:cstheme="minorEastAsia"/>
          <w:b/>
          <w:bCs/>
          <w:color w:val="auto"/>
          <w:sz w:val="28"/>
          <w:szCs w:val="28"/>
          <w:highlight w:val="none"/>
          <w:lang w:val="en-US" w:eastAsia="zh-CN"/>
        </w:rPr>
        <w:t>9、</w:t>
      </w:r>
      <w:r>
        <w:rPr>
          <w:rFonts w:hint="eastAsia" w:asciiTheme="minorEastAsia" w:hAnsiTheme="minorEastAsia" w:eastAsiaTheme="minorEastAsia" w:cstheme="minorEastAsia"/>
          <w:b/>
          <w:bCs/>
          <w:color w:val="auto"/>
          <w:sz w:val="28"/>
          <w:szCs w:val="28"/>
          <w:highlight w:val="none"/>
        </w:rPr>
        <w:t>结果计算</w:t>
      </w:r>
      <w:r>
        <w:rPr>
          <w:rFonts w:hint="eastAsia" w:asciiTheme="minorEastAsia" w:hAnsiTheme="minorEastAsia" w:eastAsiaTheme="minorEastAsia" w:cstheme="minorEastAsia"/>
          <w:b/>
          <w:bCs/>
          <w:color w:val="auto"/>
          <w:sz w:val="28"/>
          <w:szCs w:val="28"/>
          <w:highlight w:val="none"/>
          <w:lang w:eastAsia="zh-CN"/>
        </w:rPr>
        <w:t>：</w:t>
      </w:r>
    </w:p>
    <w:p w14:paraId="3398D8D0">
      <w:pPr>
        <w:keepNext w:val="0"/>
        <w:keepLines w:val="0"/>
        <w:pageBreakBefore w:val="0"/>
        <w:widowControl/>
        <w:numPr>
          <w:ilvl w:val="0"/>
          <w:numId w:val="0"/>
        </w:numPr>
        <w:tabs>
          <w:tab w:val="left" w:pos="860"/>
        </w:tabs>
        <w:kinsoku/>
        <w:wordWrap/>
        <w:overflowPunct/>
        <w:topLinePunct w:val="0"/>
        <w:autoSpaceDE/>
        <w:autoSpaceDN/>
        <w:bidi w:val="0"/>
        <w:adjustRightInd w:val="0"/>
        <w:snapToGrid w:val="0"/>
        <w:spacing w:before="120" w:beforeAutospacing="0" w:after="0" w:afterAutospacing="0" w:line="360" w:lineRule="auto"/>
        <w:ind w:left="427" w:leftChars="3" w:hanging="420" w:hangingChars="175"/>
        <w:jc w:val="both"/>
        <w:textAlignment w:val="auto"/>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9.1 </w:t>
      </w:r>
      <w:r>
        <w:rPr>
          <w:rFonts w:hint="eastAsia" w:asciiTheme="minorEastAsia" w:hAnsiTheme="minorEastAsia" w:eastAsiaTheme="minorEastAsia" w:cstheme="minorEastAsia"/>
          <w:color w:val="auto"/>
          <w:sz w:val="24"/>
          <w:szCs w:val="24"/>
          <w:highlight w:val="none"/>
        </w:rPr>
        <w:t>计算标准品和</w:t>
      </w:r>
      <w:r>
        <w:rPr>
          <w:rFonts w:hint="eastAsia" w:asciiTheme="minorEastAsia" w:hAnsiTheme="minorEastAsia" w:eastAsiaTheme="minorEastAsia" w:cstheme="minorEastAsia"/>
          <w:color w:val="auto"/>
          <w:sz w:val="24"/>
          <w:szCs w:val="24"/>
          <w:highlight w:val="none"/>
          <w:lang w:eastAsia="zh-CN"/>
        </w:rPr>
        <w:t>样品</w:t>
      </w:r>
      <w:r>
        <w:rPr>
          <w:rFonts w:hint="eastAsia" w:asciiTheme="minorEastAsia" w:hAnsiTheme="minorEastAsia" w:eastAsiaTheme="minorEastAsia" w:cstheme="minorEastAsia"/>
          <w:color w:val="auto"/>
          <w:sz w:val="24"/>
          <w:szCs w:val="24"/>
          <w:highlight w:val="none"/>
        </w:rPr>
        <w:t>复孔的平均OD值</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使用计算机软件以浓度为横坐标</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OD值为纵坐标</w:t>
      </w:r>
      <w:r>
        <w:rPr>
          <w:rFonts w:hint="eastAsia" w:asciiTheme="minorEastAsia" w:hAnsiTheme="minorEastAsia" w:eastAsiaTheme="minorEastAsia" w:cstheme="minorEastAsia"/>
          <w:color w:val="auto"/>
          <w:sz w:val="24"/>
          <w:szCs w:val="24"/>
          <w:highlight w:val="none"/>
          <w:lang w:eastAsia="zh-CN"/>
        </w:rPr>
        <w:t>，在</w:t>
      </w:r>
      <w:r>
        <w:rPr>
          <w:rFonts w:hint="eastAsia" w:asciiTheme="minorEastAsia" w:hAnsiTheme="minorEastAsia" w:eastAsiaTheme="minorEastAsia" w:cstheme="minorEastAsia"/>
          <w:color w:val="auto"/>
          <w:sz w:val="24"/>
          <w:szCs w:val="24"/>
          <w:highlight w:val="none"/>
          <w:lang w:val="en-US" w:eastAsia="zh-CN"/>
        </w:rPr>
        <w:t>双对数坐标轴上</w:t>
      </w:r>
      <w:r>
        <w:rPr>
          <w:rFonts w:hint="eastAsia" w:asciiTheme="minorEastAsia" w:hAnsiTheme="minorEastAsia" w:eastAsiaTheme="minorEastAsia" w:cstheme="minorEastAsia"/>
          <w:color w:val="auto"/>
          <w:sz w:val="24"/>
          <w:szCs w:val="24"/>
          <w:highlight w:val="none"/>
        </w:rPr>
        <w:t>作四参数逻辑曲线拟合创建标准曲线。</w:t>
      </w:r>
    </w:p>
    <w:p w14:paraId="3D093704">
      <w:pPr>
        <w:keepNext w:val="0"/>
        <w:keepLines w:val="0"/>
        <w:pageBreakBefore w:val="0"/>
        <w:widowControl/>
        <w:numPr>
          <w:ilvl w:val="0"/>
          <w:numId w:val="0"/>
        </w:numPr>
        <w:tabs>
          <w:tab w:val="left" w:pos="860"/>
        </w:tabs>
        <w:kinsoku/>
        <w:wordWrap/>
        <w:overflowPunct/>
        <w:topLinePunct w:val="0"/>
        <w:autoSpaceDE/>
        <w:autoSpaceDN/>
        <w:bidi w:val="0"/>
        <w:adjustRightInd w:val="0"/>
        <w:snapToGrid w:val="0"/>
        <w:spacing w:beforeAutospacing="0" w:after="0" w:afterAutospacing="0" w:line="360" w:lineRule="auto"/>
        <w:ind w:left="427" w:leftChars="3" w:hanging="420" w:hangingChars="175"/>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9.2 </w:t>
      </w:r>
      <w:r>
        <w:rPr>
          <w:rFonts w:hint="eastAsia" w:asciiTheme="minorEastAsia" w:hAnsiTheme="minorEastAsia" w:eastAsiaTheme="minorEastAsia" w:cstheme="minorEastAsia"/>
          <w:color w:val="auto"/>
          <w:sz w:val="24"/>
          <w:szCs w:val="24"/>
          <w:highlight w:val="none"/>
        </w:rPr>
        <w:t>若样品OD值高于标准曲线上限，应适当稀释后重</w:t>
      </w:r>
      <w:r>
        <w:rPr>
          <w:rFonts w:hint="eastAsia" w:asciiTheme="minorEastAsia" w:hAnsiTheme="minorEastAsia" w:eastAsiaTheme="minorEastAsia" w:cstheme="minorEastAsia"/>
          <w:color w:val="auto"/>
          <w:sz w:val="24"/>
          <w:szCs w:val="24"/>
          <w:highlight w:val="none"/>
          <w:lang w:val="en-US" w:eastAsia="zh-CN"/>
        </w:rPr>
        <w:t>新测试，</w:t>
      </w:r>
      <w:r>
        <w:rPr>
          <w:rFonts w:hint="eastAsia" w:asciiTheme="minorEastAsia" w:hAnsiTheme="minorEastAsia" w:eastAsiaTheme="minorEastAsia" w:cstheme="minorEastAsia"/>
          <w:color w:val="auto"/>
          <w:sz w:val="24"/>
          <w:szCs w:val="24"/>
          <w:highlight w:val="none"/>
        </w:rPr>
        <w:t>并在计算</w:t>
      </w:r>
      <w:r>
        <w:rPr>
          <w:rFonts w:hint="eastAsia" w:asciiTheme="minorEastAsia" w:hAnsiTheme="minorEastAsia" w:eastAsiaTheme="minorEastAsia" w:cstheme="minorEastAsia"/>
          <w:color w:val="auto"/>
          <w:sz w:val="24"/>
          <w:szCs w:val="24"/>
          <w:highlight w:val="none"/>
          <w:lang w:eastAsia="zh-CN"/>
        </w:rPr>
        <w:t>样品</w:t>
      </w:r>
      <w:r>
        <w:rPr>
          <w:rFonts w:hint="eastAsia" w:asciiTheme="minorEastAsia" w:hAnsiTheme="minorEastAsia" w:eastAsiaTheme="minorEastAsia" w:cstheme="minorEastAsia"/>
          <w:color w:val="auto"/>
          <w:sz w:val="24"/>
          <w:szCs w:val="24"/>
          <w:highlight w:val="none"/>
        </w:rPr>
        <w:t>浓度时乘以相应的稀释倍数，即为</w:t>
      </w:r>
      <w:r>
        <w:rPr>
          <w:rFonts w:hint="eastAsia" w:asciiTheme="minorEastAsia" w:hAnsiTheme="minorEastAsia" w:eastAsiaTheme="minorEastAsia" w:cstheme="minorEastAsia"/>
          <w:color w:val="auto"/>
          <w:sz w:val="24"/>
          <w:szCs w:val="24"/>
          <w:highlight w:val="none"/>
          <w:lang w:eastAsia="zh-CN"/>
        </w:rPr>
        <w:t>样品</w:t>
      </w:r>
      <w:r>
        <w:rPr>
          <w:rFonts w:hint="eastAsia" w:asciiTheme="minorEastAsia" w:hAnsiTheme="minorEastAsia" w:eastAsiaTheme="minorEastAsia" w:cstheme="minorEastAsia"/>
          <w:color w:val="auto"/>
          <w:sz w:val="24"/>
          <w:szCs w:val="24"/>
          <w:highlight w:val="none"/>
        </w:rPr>
        <w:t>的实际浓度。</w:t>
      </w:r>
    </w:p>
    <w:p w14:paraId="203C1333">
      <w:pPr>
        <w:keepNext w:val="0"/>
        <w:keepLines w:val="0"/>
        <w:pageBreakBefore w:val="0"/>
        <w:widowControl/>
        <w:numPr>
          <w:ilvl w:val="0"/>
          <w:numId w:val="0"/>
        </w:numPr>
        <w:tabs>
          <w:tab w:val="left" w:pos="860"/>
        </w:tabs>
        <w:kinsoku/>
        <w:wordWrap/>
        <w:overflowPunct/>
        <w:topLinePunct w:val="0"/>
        <w:autoSpaceDE/>
        <w:autoSpaceDN/>
        <w:bidi w:val="0"/>
        <w:adjustRightInd w:val="0"/>
        <w:snapToGrid w:val="0"/>
        <w:spacing w:before="120" w:beforeAutospacing="0" w:after="120" w:afterAutospacing="0" w:line="360" w:lineRule="auto"/>
        <w:ind w:left="6" w:leftChars="0"/>
        <w:jc w:val="center"/>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30"/>
          <w:szCs w:val="30"/>
          <w:highlight w:val="none"/>
          <w:lang w:eastAsia="zh-CN"/>
        </w:rPr>
        <w:drawing>
          <wp:inline distT="0" distB="0" distL="114300" distR="114300">
            <wp:extent cx="2520315" cy="2489200"/>
            <wp:effectExtent l="0" t="0" r="9525" b="0"/>
            <wp:docPr id="1006" name="图片 1" descr="夹心法"/>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6" name="图片 1" descr="夹心法"/>
                    <pic:cNvPicPr>
                      <a:picLocks noChangeAspect="1"/>
                    </pic:cNvPicPr>
                  </pic:nvPicPr>
                  <pic:blipFill>
                    <a:blip r:embed="rId9"/>
                    <a:stretch>
                      <a:fillRect/>
                    </a:stretch>
                  </pic:blipFill>
                  <pic:spPr>
                    <a:xfrm>
                      <a:off x="0" y="0"/>
                      <a:ext cx="2520315" cy="2489200"/>
                    </a:xfrm>
                    <a:prstGeom prst="rect">
                      <a:avLst/>
                    </a:prstGeom>
                  </pic:spPr>
                </pic:pic>
              </a:graphicData>
            </a:graphic>
          </wp:inline>
        </w:drawing>
      </w:r>
    </w:p>
    <w:p w14:paraId="3BAAA765">
      <w:pPr>
        <w:keepNext w:val="0"/>
        <w:keepLines w:val="0"/>
        <w:pageBreakBefore w:val="0"/>
        <w:widowControl/>
        <w:kinsoku/>
        <w:wordWrap/>
        <w:overflowPunct/>
        <w:topLinePunct w:val="0"/>
        <w:autoSpaceDE/>
        <w:autoSpaceDN/>
        <w:bidi w:val="0"/>
        <w:adjustRightInd w:val="0"/>
        <w:snapToGrid w:val="0"/>
        <w:spacing w:line="360" w:lineRule="auto"/>
        <w:rPr>
          <w:rFonts w:hint="eastAsia" w:ascii="微软雅黑" w:hAnsi="微软雅黑" w:eastAsia="微软雅黑" w:cs="微软雅黑"/>
          <w:sz w:val="24"/>
          <w:szCs w:val="24"/>
          <w:highlight w:val="none"/>
        </w:rPr>
      </w:pPr>
      <w:r>
        <w:rPr>
          <w:rFonts w:hint="eastAsia"/>
          <w:sz w:val="24"/>
          <w:szCs w:val="24"/>
          <w:highlight w:val="none"/>
          <w:lang w:val="en-US" w:eastAsia="zh-CN"/>
        </w:rPr>
        <w:t xml:space="preserve"> </w:t>
      </w:r>
      <w:r>
        <w:rPr>
          <w:rFonts w:hint="eastAsia" w:ascii="微软雅黑" w:hAnsi="微软雅黑" w:eastAsia="微软雅黑" w:cs="微软雅黑"/>
          <w:sz w:val="24"/>
          <w:szCs w:val="24"/>
          <w:highlight w:val="none"/>
        </w:rPr>
        <w:t xml:space="preserve"> </w:t>
      </w:r>
      <w:r>
        <w:rPr>
          <w:rFonts w:hint="default" w:ascii="微软雅黑" w:hAnsi="微软雅黑" w:cs="微软雅黑"/>
          <w:sz w:val="24"/>
          <w:szCs w:val="24"/>
          <w:highlight w:val="none"/>
          <w:lang w:val="en-US"/>
        </w:rPr>
        <w:t xml:space="preserve">                                   </w:t>
      </w:r>
      <w:r>
        <w:rPr>
          <w:rFonts w:hint="eastAsia"/>
          <w:sz w:val="24"/>
          <w:szCs w:val="24"/>
          <w:highlight w:val="none"/>
          <w:lang w:val="en-US" w:eastAsia="zh-CN"/>
        </w:rPr>
        <w:t>（</w:t>
      </w:r>
      <w:r>
        <w:rPr>
          <w:rFonts w:hint="eastAsia" w:ascii="微软雅黑" w:hAnsi="微软雅黑" w:eastAsia="微软雅黑" w:cs="微软雅黑"/>
          <w:sz w:val="24"/>
          <w:szCs w:val="24"/>
          <w:highlight w:val="none"/>
        </w:rPr>
        <w:t>此图仅供参考）</w:t>
      </w:r>
    </w:p>
    <w:p w14:paraId="21E3F66C">
      <w:pPr>
        <w:spacing w:after="0" w:afterAutospacing="0" w:line="360" w:lineRule="auto"/>
        <w:rPr>
          <w:rFonts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en-US" w:eastAsia="zh-CN"/>
        </w:rPr>
        <w:t>10、注意事项</w:t>
      </w:r>
      <w:r>
        <w:rPr>
          <w:rFonts w:ascii="宋体" w:hAnsi="宋体" w:eastAsia="宋体" w:cs="宋体"/>
          <w:b/>
          <w:bCs/>
          <w:color w:val="auto"/>
          <w:sz w:val="28"/>
          <w:szCs w:val="28"/>
          <w:highlight w:val="none"/>
        </w:rPr>
        <w:t>：</w:t>
      </w:r>
    </w:p>
    <w:p w14:paraId="4540A24D">
      <w:pPr>
        <w:pStyle w:val="5"/>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551" w:leftChars="1" w:right="0" w:rightChars="0" w:hanging="549" w:hangingChars="229"/>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 xml:space="preserve">10.1 本产品仅供科学研究使用，不能用于临床诊断，如果用于临床诊断或任何其他用途，我们将不对任何后果负责。 </w:t>
      </w:r>
    </w:p>
    <w:p w14:paraId="7FA0EBDE">
      <w:pPr>
        <w:pStyle w:val="5"/>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554" w:leftChars="0" w:right="0" w:rightChars="0" w:hanging="554" w:hangingChars="231"/>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 xml:space="preserve">10.2 实验过程中请穿戴实验服、口罩和乳胶手套。请按照生物实验室的国家安全规定进行实验，尤其是在检测血样或其他体液时。 </w:t>
      </w:r>
    </w:p>
    <w:p w14:paraId="24FA53D3">
      <w:pPr>
        <w:pStyle w:val="5"/>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right="0" w:rightChars="0"/>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 xml:space="preserve">10.3为了实验结果的准确性，请仅使用我们提供的试剂，并且不要混用不同批次的试剂。 </w:t>
      </w:r>
    </w:p>
    <w:p w14:paraId="1CA8DE40">
      <w:pPr>
        <w:pStyle w:val="5"/>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right="0" w:rightChars="0"/>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10.4不同厂家的试剂盒或通过其他方法检测相同的指标结果可能有差异。</w:t>
      </w:r>
    </w:p>
    <w:p w14:paraId="782B218B">
      <w:pPr>
        <w:pStyle w:val="5"/>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right="0" w:rightChars="0"/>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10.5若所检样品不在说明书所列样品之中，建议做预实验验证其检测有效性。</w:t>
      </w:r>
    </w:p>
    <w:p w14:paraId="3B39D793">
      <w:pPr>
        <w:pStyle w:val="5"/>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568" w:leftChars="0" w:right="0" w:rightChars="0" w:hanging="568" w:hangingChars="237"/>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rPr>
        <w:drawing>
          <wp:anchor distT="0" distB="0" distL="114300" distR="114300" simplePos="0" relativeHeight="251661312" behindDoc="1" locked="0" layoutInCell="1" allowOverlap="1">
            <wp:simplePos x="0" y="0"/>
            <wp:positionH relativeFrom="column">
              <wp:posOffset>-335280</wp:posOffset>
            </wp:positionH>
            <wp:positionV relativeFrom="page">
              <wp:posOffset>955675</wp:posOffset>
            </wp:positionV>
            <wp:extent cx="6737985" cy="8682355"/>
            <wp:effectExtent l="0" t="0" r="13335" b="4445"/>
            <wp:wrapNone/>
            <wp:docPr id="2" name="图片 2" descr="底纹-0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底纹-01-01"/>
                    <pic:cNvPicPr>
                      <a:picLocks noChangeAspect="1"/>
                    </pic:cNvPicPr>
                  </pic:nvPicPr>
                  <pic:blipFill>
                    <a:blip r:embed="rId7"/>
                    <a:stretch>
                      <a:fillRect/>
                    </a:stretch>
                  </pic:blipFill>
                  <pic:spPr>
                    <a:xfrm>
                      <a:off x="0" y="0"/>
                      <a:ext cx="6737985" cy="8682355"/>
                    </a:xfrm>
                    <a:prstGeom prst="rect">
                      <a:avLst/>
                    </a:prstGeom>
                  </pic:spPr>
                </pic:pic>
              </a:graphicData>
            </a:graphic>
          </wp:anchor>
        </w:drawing>
      </w:r>
      <w:r>
        <w:rPr>
          <w:rFonts w:hint="eastAsia" w:asciiTheme="minorEastAsia" w:hAnsiTheme="minorEastAsia" w:eastAsiaTheme="minorEastAsia" w:cstheme="minorEastAsia"/>
          <w:color w:val="auto"/>
          <w:kern w:val="0"/>
          <w:sz w:val="24"/>
          <w:szCs w:val="24"/>
          <w:highlight w:val="none"/>
          <w:lang w:val="en-US" w:eastAsia="zh-CN" w:bidi="ar-SA"/>
        </w:rPr>
        <w:t>10.6若使用化学裂解液制备组织匀浆或细胞提取液，由于引入某些化学物质会导致ELISA测值出现偏差。</w:t>
      </w:r>
    </w:p>
    <w:p w14:paraId="102B4C6F">
      <w:pPr>
        <w:pStyle w:val="5"/>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right="0" w:rightChars="0"/>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10.7某些重组蛋白可能与试剂盒中捕获或检测抗体不匹配而出现不能检测的情况。</w:t>
      </w:r>
    </w:p>
    <w:p w14:paraId="307DC4E7">
      <w:pPr>
        <w:pStyle w:val="5"/>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561" w:leftChars="0" w:right="0" w:rightChars="0" w:hanging="561" w:hangingChars="234"/>
        <w:textAlignment w:val="auto"/>
        <w:rPr>
          <w:rFonts w:hint="default" w:ascii="宋体" w:hAnsi="宋体" w:eastAsia="宋体" w:cs="宋体"/>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SA"/>
        </w:rPr>
        <w:t>10.8为了获得可重复的结果，应严格控制实验中的每个步骤，样品收集、处理和存储的变化</w:t>
      </w:r>
      <w:r>
        <w:rPr>
          <w:rFonts w:hint="default" w:asciiTheme="minorEastAsia" w:hAnsiTheme="minorEastAsia" w:eastAsiaTheme="minorEastAsia" w:cstheme="minorEastAsia"/>
          <w:color w:val="auto"/>
          <w:kern w:val="0"/>
          <w:sz w:val="24"/>
          <w:szCs w:val="24"/>
          <w:highlight w:val="none"/>
          <w:lang w:val="en-US" w:eastAsia="zh-CN" w:bidi="ar-SA"/>
        </w:rPr>
        <w:t>也可能导致样品测量的差异。</w:t>
      </w:r>
      <w:r>
        <w:rPr>
          <w:rFonts w:hint="default" w:ascii="宋体" w:hAnsi="宋体" w:eastAsia="宋体" w:cs="宋体"/>
          <w:color w:val="auto"/>
          <w:sz w:val="24"/>
          <w:szCs w:val="24"/>
          <w:highlight w:val="none"/>
        </w:rPr>
        <w:t xml:space="preserve"> </w:t>
      </w:r>
    </w:p>
    <w:p w14:paraId="7FE71029">
      <w:pPr>
        <w:pStyle w:val="5"/>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561" w:leftChars="0" w:right="0" w:rightChars="0" w:hanging="561" w:hangingChars="234"/>
        <w:textAlignment w:val="auto"/>
        <w:rPr>
          <w:rFonts w:hint="eastAsia" w:ascii="宋体" w:hAnsi="宋体" w:eastAsia="宋体" w:cs="宋体"/>
          <w:color w:val="auto"/>
          <w:sz w:val="24"/>
          <w:szCs w:val="24"/>
          <w:highlight w:val="none"/>
        </w:rPr>
      </w:pPr>
    </w:p>
    <w:p w14:paraId="2003BEEA">
      <w:pPr>
        <w:keepNext w:val="0"/>
        <w:keepLines w:val="0"/>
        <w:pageBreakBefore w:val="0"/>
        <w:widowControl/>
        <w:kinsoku/>
        <w:wordWrap/>
        <w:overflowPunct/>
        <w:topLinePunct w:val="0"/>
        <w:autoSpaceDE/>
        <w:autoSpaceDN/>
        <w:bidi w:val="0"/>
        <w:adjustRightInd w:val="0"/>
        <w:snapToGrid w:val="0"/>
        <w:spacing w:beforeAutospacing="0" w:after="0" w:afterAutospacing="0" w:line="360" w:lineRule="auto"/>
        <w:rPr>
          <w:rFonts w:hint="eastAsia" w:asciiTheme="minorEastAsia" w:hAnsiTheme="minorEastAsia" w:eastAsiaTheme="minorEastAsia" w:cstheme="minorEastAsia"/>
          <w:b/>
          <w:bCs/>
          <w:color w:val="auto"/>
          <w:sz w:val="24"/>
          <w:szCs w:val="24"/>
          <w:highlight w:val="none"/>
          <w:lang w:eastAsia="zh-CN"/>
        </w:rPr>
      </w:pPr>
      <w:r>
        <w:rPr>
          <w:rFonts w:hint="eastAsia" w:asciiTheme="minorEastAsia" w:hAnsiTheme="minorEastAsia" w:eastAsiaTheme="minorEastAsia" w:cstheme="minorEastAsia"/>
          <w:b/>
          <w:bCs/>
          <w:color w:val="auto"/>
          <w:sz w:val="28"/>
          <w:szCs w:val="28"/>
          <w:highlight w:val="none"/>
          <w:lang w:val="en-US" w:eastAsia="zh-CN"/>
        </w:rPr>
        <w:t>11、</w:t>
      </w:r>
      <w:r>
        <w:rPr>
          <w:rFonts w:hint="eastAsia" w:asciiTheme="minorEastAsia" w:hAnsiTheme="minorEastAsia" w:eastAsiaTheme="minorEastAsia" w:cstheme="minorEastAsia"/>
          <w:b/>
          <w:bCs/>
          <w:color w:val="auto"/>
          <w:sz w:val="28"/>
          <w:szCs w:val="28"/>
          <w:highlight w:val="none"/>
        </w:rPr>
        <w:t>问题分析</w:t>
      </w:r>
      <w:r>
        <w:rPr>
          <w:rFonts w:hint="eastAsia" w:asciiTheme="minorEastAsia" w:hAnsiTheme="minorEastAsia" w:eastAsiaTheme="minorEastAsia" w:cstheme="minorEastAsia"/>
          <w:b/>
          <w:bCs/>
          <w:color w:val="auto"/>
          <w:sz w:val="28"/>
          <w:szCs w:val="28"/>
          <w:highlight w:val="none"/>
          <w:lang w:eastAsia="zh-CN"/>
        </w:rPr>
        <w:t>：</w:t>
      </w:r>
    </w:p>
    <w:tbl>
      <w:tblPr>
        <w:tblStyle w:val="10"/>
        <w:tblW w:w="965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81"/>
        <w:gridCol w:w="2999"/>
        <w:gridCol w:w="4779"/>
      </w:tblGrid>
      <w:tr w14:paraId="738574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7" w:hRule="atLeast"/>
          <w:jc w:val="center"/>
        </w:trPr>
        <w:tc>
          <w:tcPr>
            <w:tcW w:w="1881" w:type="dxa"/>
            <w:tcBorders>
              <w:bottom w:val="single" w:color="auto" w:sz="4" w:space="0"/>
            </w:tcBorders>
            <w:shd w:val="clear" w:color="auto" w:fill="auto"/>
            <w:vAlign w:val="center"/>
          </w:tcPr>
          <w:p w14:paraId="5C6A2A2C">
            <w:pPr>
              <w:keepNext w:val="0"/>
              <w:keepLines w:val="0"/>
              <w:pageBreakBefore w:val="0"/>
              <w:widowControl/>
              <w:kinsoku/>
              <w:wordWrap/>
              <w:overflowPunct/>
              <w:topLinePunct w:val="0"/>
              <w:autoSpaceDE/>
              <w:autoSpaceDN/>
              <w:bidi w:val="0"/>
              <w:adjustRightInd w:val="0"/>
              <w:snapToGrid w:val="0"/>
              <w:spacing w:beforeAutospacing="0" w:after="0" w:line="360" w:lineRule="auto"/>
              <w:ind w:left="0" w:right="0" w:firstLine="0"/>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pacing w:val="6"/>
                <w:sz w:val="24"/>
                <w:szCs w:val="24"/>
                <w:highlight w:val="none"/>
              </w:rPr>
              <w:t>问题描述</w:t>
            </w:r>
          </w:p>
        </w:tc>
        <w:tc>
          <w:tcPr>
            <w:tcW w:w="2999" w:type="dxa"/>
            <w:tcBorders>
              <w:bottom w:val="single" w:color="auto" w:sz="4" w:space="0"/>
            </w:tcBorders>
            <w:shd w:val="clear" w:color="auto" w:fill="auto"/>
            <w:vAlign w:val="center"/>
          </w:tcPr>
          <w:p w14:paraId="0CA59270">
            <w:pPr>
              <w:keepNext w:val="0"/>
              <w:keepLines w:val="0"/>
              <w:pageBreakBefore w:val="0"/>
              <w:widowControl/>
              <w:kinsoku/>
              <w:wordWrap/>
              <w:overflowPunct/>
              <w:topLinePunct w:val="0"/>
              <w:autoSpaceDE/>
              <w:autoSpaceDN/>
              <w:bidi w:val="0"/>
              <w:adjustRightInd w:val="0"/>
              <w:snapToGrid w:val="0"/>
              <w:spacing w:after="0" w:line="360" w:lineRule="auto"/>
              <w:ind w:left="0" w:right="0" w:firstLine="0"/>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pacing w:val="8"/>
                <w:sz w:val="24"/>
                <w:szCs w:val="24"/>
                <w:highlight w:val="none"/>
              </w:rPr>
              <w:t>可能原因</w:t>
            </w:r>
          </w:p>
        </w:tc>
        <w:tc>
          <w:tcPr>
            <w:tcW w:w="4779" w:type="dxa"/>
            <w:tcBorders>
              <w:bottom w:val="single" w:color="auto" w:sz="4" w:space="0"/>
            </w:tcBorders>
            <w:shd w:val="clear" w:color="auto" w:fill="auto"/>
            <w:vAlign w:val="center"/>
          </w:tcPr>
          <w:p w14:paraId="5537D68E">
            <w:pPr>
              <w:keepNext w:val="0"/>
              <w:keepLines w:val="0"/>
              <w:pageBreakBefore w:val="0"/>
              <w:widowControl/>
              <w:kinsoku/>
              <w:wordWrap/>
              <w:overflowPunct/>
              <w:topLinePunct w:val="0"/>
              <w:autoSpaceDE/>
              <w:autoSpaceDN/>
              <w:bidi w:val="0"/>
              <w:adjustRightInd w:val="0"/>
              <w:snapToGrid w:val="0"/>
              <w:spacing w:after="0" w:line="360" w:lineRule="auto"/>
              <w:ind w:left="0" w:right="0" w:firstLine="0"/>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b/>
                <w:bCs/>
                <w:color w:val="auto"/>
                <w:spacing w:val="8"/>
                <w:sz w:val="24"/>
                <w:szCs w:val="24"/>
                <w:highlight w:val="none"/>
                <w:lang w:val="en-US" w:eastAsia="zh-CN"/>
              </w:rPr>
              <w:t>解决方案</w:t>
            </w:r>
          </w:p>
        </w:tc>
      </w:tr>
      <w:tr w14:paraId="7BC2FB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7" w:hRule="atLeast"/>
          <w:jc w:val="center"/>
        </w:trPr>
        <w:tc>
          <w:tcPr>
            <w:tcW w:w="1881" w:type="dxa"/>
            <w:vMerge w:val="restart"/>
            <w:tcBorders>
              <w:top w:val="single" w:color="auto" w:sz="4" w:space="0"/>
              <w:left w:val="single" w:color="auto" w:sz="4" w:space="0"/>
              <w:right w:val="single" w:color="auto" w:sz="4" w:space="0"/>
            </w:tcBorders>
            <w:vAlign w:val="center"/>
          </w:tcPr>
          <w:p w14:paraId="0623643C">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firstLine="0" w:firstLineChars="0"/>
              <w:jc w:val="center"/>
              <w:textAlignment w:val="auto"/>
              <w:rPr>
                <w:rFonts w:hint="eastAsia" w:asciiTheme="minorEastAsia" w:hAnsiTheme="minorEastAsia" w:eastAsiaTheme="minorEastAsia" w:cstheme="minorEastAsia"/>
                <w:color w:val="auto"/>
                <w:sz w:val="24"/>
                <w:szCs w:val="24"/>
                <w:highlight w:val="none"/>
                <w:lang w:val="en-US" w:eastAsia="zh-CN" w:bidi="ar-SA"/>
              </w:rPr>
            </w:pPr>
            <w:r>
              <w:rPr>
                <w:rFonts w:hint="eastAsia" w:asciiTheme="minorEastAsia" w:hAnsiTheme="minorEastAsia" w:eastAsiaTheme="minorEastAsia" w:cstheme="minorEastAsia"/>
                <w:color w:val="auto"/>
                <w:spacing w:val="9"/>
                <w:sz w:val="24"/>
                <w:szCs w:val="24"/>
                <w:highlight w:val="none"/>
              </w:rPr>
              <w:t>显色弱或无色</w:t>
            </w:r>
          </w:p>
        </w:tc>
        <w:tc>
          <w:tcPr>
            <w:tcW w:w="2999" w:type="dxa"/>
            <w:tcBorders>
              <w:top w:val="single" w:color="auto" w:sz="4" w:space="0"/>
              <w:left w:val="single" w:color="auto" w:sz="4" w:space="0"/>
              <w:bottom w:val="single" w:color="auto" w:sz="4" w:space="0"/>
              <w:right w:val="single" w:color="auto" w:sz="4" w:space="0"/>
            </w:tcBorders>
            <w:vAlign w:val="center"/>
          </w:tcPr>
          <w:p w14:paraId="344195D3">
            <w:pPr>
              <w:keepNext w:val="0"/>
              <w:keepLines w:val="0"/>
              <w:pageBreakBefore w:val="0"/>
              <w:widowControl/>
              <w:kinsoku/>
              <w:wordWrap/>
              <w:overflowPunct/>
              <w:topLinePunct w:val="0"/>
              <w:autoSpaceDE/>
              <w:autoSpaceDN/>
              <w:bidi w:val="0"/>
              <w:adjustRightInd w:val="0"/>
              <w:snapToGrid w:val="0"/>
              <w:spacing w:after="0" w:line="360" w:lineRule="auto"/>
              <w:ind w:left="0" w:leftChars="0" w:right="0" w:rightChars="0" w:firstLine="0" w:firstLineChars="0"/>
              <w:jc w:val="center"/>
              <w:textAlignment w:val="auto"/>
              <w:rPr>
                <w:rFonts w:hint="eastAsia" w:asciiTheme="minorEastAsia" w:hAnsiTheme="minorEastAsia" w:eastAsiaTheme="minorEastAsia" w:cstheme="minorEastAsia"/>
                <w:color w:val="auto"/>
                <w:sz w:val="24"/>
                <w:szCs w:val="24"/>
                <w:highlight w:val="none"/>
                <w:lang w:val="en-US" w:eastAsia="zh-CN" w:bidi="ar-SA"/>
              </w:rPr>
            </w:pPr>
            <w:r>
              <w:rPr>
                <w:rFonts w:hint="eastAsia" w:asciiTheme="minorEastAsia" w:hAnsiTheme="minorEastAsia" w:eastAsiaTheme="minorEastAsia" w:cstheme="minorEastAsia"/>
                <w:color w:val="auto"/>
                <w:spacing w:val="8"/>
                <w:sz w:val="24"/>
                <w:szCs w:val="24"/>
                <w:highlight w:val="none"/>
              </w:rPr>
              <w:t>孵育时间不够</w:t>
            </w:r>
          </w:p>
        </w:tc>
        <w:tc>
          <w:tcPr>
            <w:tcW w:w="4779" w:type="dxa"/>
            <w:tcBorders>
              <w:top w:val="single" w:color="auto" w:sz="4" w:space="0"/>
              <w:left w:val="single" w:color="auto" w:sz="4" w:space="0"/>
              <w:bottom w:val="single" w:color="auto" w:sz="4" w:space="0"/>
              <w:right w:val="single" w:color="auto" w:sz="4" w:space="0"/>
            </w:tcBorders>
            <w:vAlign w:val="center"/>
          </w:tcPr>
          <w:p w14:paraId="72DE1862">
            <w:pPr>
              <w:keepNext w:val="0"/>
              <w:keepLines w:val="0"/>
              <w:pageBreakBefore w:val="0"/>
              <w:widowControl/>
              <w:kinsoku/>
              <w:wordWrap/>
              <w:overflowPunct/>
              <w:topLinePunct w:val="0"/>
              <w:autoSpaceDE/>
              <w:autoSpaceDN/>
              <w:bidi w:val="0"/>
              <w:adjustRightInd w:val="0"/>
              <w:snapToGrid w:val="0"/>
              <w:spacing w:after="0" w:line="360" w:lineRule="auto"/>
              <w:ind w:left="0" w:leftChars="0" w:right="0" w:rightChars="0" w:firstLine="0" w:firstLineChars="0"/>
              <w:jc w:val="center"/>
              <w:textAlignment w:val="auto"/>
              <w:rPr>
                <w:rFonts w:hint="eastAsia" w:asciiTheme="minorEastAsia" w:hAnsiTheme="minorEastAsia" w:eastAsiaTheme="minorEastAsia" w:cstheme="minorEastAsia"/>
                <w:color w:val="auto"/>
                <w:sz w:val="24"/>
                <w:szCs w:val="24"/>
                <w:highlight w:val="none"/>
                <w:lang w:val="en-US" w:eastAsia="zh-CN" w:bidi="ar-SA"/>
              </w:rPr>
            </w:pPr>
            <w:r>
              <w:rPr>
                <w:rFonts w:hint="eastAsia" w:asciiTheme="minorEastAsia" w:hAnsiTheme="minorEastAsia" w:eastAsiaTheme="minorEastAsia" w:cstheme="minorEastAsia"/>
                <w:color w:val="auto"/>
                <w:spacing w:val="9"/>
                <w:sz w:val="24"/>
                <w:szCs w:val="24"/>
                <w:highlight w:val="none"/>
              </w:rPr>
              <w:t>确保孵育时间</w:t>
            </w:r>
          </w:p>
        </w:tc>
      </w:tr>
      <w:tr w14:paraId="5A6EB7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7" w:hRule="atLeast"/>
          <w:jc w:val="center"/>
        </w:trPr>
        <w:tc>
          <w:tcPr>
            <w:tcW w:w="1881" w:type="dxa"/>
            <w:vMerge w:val="continue"/>
            <w:tcBorders>
              <w:left w:val="single" w:color="auto" w:sz="4" w:space="0"/>
              <w:right w:val="single" w:color="auto" w:sz="4" w:space="0"/>
            </w:tcBorders>
            <w:vAlign w:val="center"/>
          </w:tcPr>
          <w:p w14:paraId="4EDDDBF5">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eastAsia" w:asciiTheme="minorEastAsia" w:hAnsiTheme="minorEastAsia" w:eastAsiaTheme="minorEastAsia" w:cstheme="minorEastAsia"/>
                <w:color w:val="auto"/>
                <w:sz w:val="24"/>
                <w:szCs w:val="24"/>
                <w:highlight w:val="none"/>
                <w:lang w:val="en-US" w:eastAsia="zh-CN"/>
              </w:rPr>
            </w:pPr>
          </w:p>
        </w:tc>
        <w:tc>
          <w:tcPr>
            <w:tcW w:w="2999" w:type="dxa"/>
            <w:tcBorders>
              <w:top w:val="single" w:color="auto" w:sz="4" w:space="0"/>
              <w:left w:val="single" w:color="auto" w:sz="4" w:space="0"/>
              <w:bottom w:val="single" w:color="auto" w:sz="4" w:space="0"/>
              <w:right w:val="single" w:color="auto" w:sz="4" w:space="0"/>
            </w:tcBorders>
            <w:vAlign w:val="center"/>
          </w:tcPr>
          <w:p w14:paraId="2EA5F519">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rPr>
                <w:rFonts w:hint="eastAsia" w:asciiTheme="minorEastAsia" w:hAnsiTheme="minorEastAsia" w:eastAsiaTheme="minorEastAsia" w:cstheme="minorEastAsia"/>
                <w:color w:val="auto"/>
                <w:sz w:val="24"/>
                <w:szCs w:val="24"/>
                <w:highlight w:val="none"/>
                <w:lang w:val="en-US" w:eastAsia="zh-CN" w:bidi="ar-SA"/>
              </w:rPr>
            </w:pPr>
            <w:r>
              <w:rPr>
                <w:rFonts w:hint="eastAsia" w:asciiTheme="minorEastAsia" w:hAnsiTheme="minorEastAsia" w:eastAsiaTheme="minorEastAsia" w:cstheme="minorEastAsia"/>
                <w:color w:val="auto"/>
                <w:spacing w:val="8"/>
                <w:sz w:val="24"/>
                <w:szCs w:val="24"/>
                <w:highlight w:val="none"/>
              </w:rPr>
              <w:t>孵育温度不正确</w:t>
            </w:r>
          </w:p>
        </w:tc>
        <w:tc>
          <w:tcPr>
            <w:tcW w:w="4779" w:type="dxa"/>
            <w:tcBorders>
              <w:top w:val="single" w:color="auto" w:sz="4" w:space="0"/>
              <w:left w:val="single" w:color="auto" w:sz="4" w:space="0"/>
              <w:bottom w:val="single" w:color="auto" w:sz="4" w:space="0"/>
              <w:right w:val="single" w:color="auto" w:sz="4" w:space="0"/>
            </w:tcBorders>
            <w:vAlign w:val="center"/>
          </w:tcPr>
          <w:p w14:paraId="51878560">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rPr>
                <w:rFonts w:hint="eastAsia" w:asciiTheme="minorEastAsia" w:hAnsiTheme="minorEastAsia" w:eastAsiaTheme="minorEastAsia" w:cstheme="minorEastAsia"/>
                <w:color w:val="auto"/>
                <w:sz w:val="24"/>
                <w:szCs w:val="24"/>
                <w:highlight w:val="none"/>
                <w:lang w:val="en-US" w:eastAsia="zh-CN" w:bidi="ar-SA"/>
              </w:rPr>
            </w:pPr>
            <w:r>
              <w:rPr>
                <w:rFonts w:hint="eastAsia" w:asciiTheme="minorEastAsia" w:hAnsiTheme="minorEastAsia" w:eastAsiaTheme="minorEastAsia" w:cstheme="minorEastAsia"/>
                <w:color w:val="auto"/>
                <w:spacing w:val="9"/>
                <w:sz w:val="24"/>
                <w:szCs w:val="24"/>
                <w:highlight w:val="none"/>
              </w:rPr>
              <w:t>按推荐温度孵育</w:t>
            </w:r>
          </w:p>
        </w:tc>
      </w:tr>
      <w:tr w14:paraId="0E8A01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7" w:hRule="atLeast"/>
          <w:jc w:val="center"/>
        </w:trPr>
        <w:tc>
          <w:tcPr>
            <w:tcW w:w="1881" w:type="dxa"/>
            <w:vMerge w:val="continue"/>
            <w:tcBorders>
              <w:left w:val="single" w:color="auto" w:sz="4" w:space="0"/>
              <w:right w:val="single" w:color="auto" w:sz="4" w:space="0"/>
            </w:tcBorders>
            <w:vAlign w:val="center"/>
          </w:tcPr>
          <w:p w14:paraId="6755A8F4">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eastAsia" w:asciiTheme="minorEastAsia" w:hAnsiTheme="minorEastAsia" w:eastAsiaTheme="minorEastAsia" w:cstheme="minorEastAsia"/>
                <w:color w:val="auto"/>
                <w:sz w:val="24"/>
                <w:szCs w:val="24"/>
                <w:highlight w:val="none"/>
                <w:lang w:val="en-US" w:eastAsia="zh-CN"/>
              </w:rPr>
            </w:pPr>
          </w:p>
        </w:tc>
        <w:tc>
          <w:tcPr>
            <w:tcW w:w="2999" w:type="dxa"/>
            <w:tcBorders>
              <w:top w:val="single" w:color="auto" w:sz="4" w:space="0"/>
              <w:left w:val="single" w:color="auto" w:sz="4" w:space="0"/>
              <w:bottom w:val="single" w:color="auto" w:sz="4" w:space="0"/>
              <w:right w:val="single" w:color="auto" w:sz="4" w:space="0"/>
            </w:tcBorders>
            <w:vAlign w:val="center"/>
          </w:tcPr>
          <w:p w14:paraId="383829E8">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rPr>
                <w:rFonts w:hint="eastAsia" w:asciiTheme="minorEastAsia" w:hAnsiTheme="minorEastAsia" w:eastAsiaTheme="minorEastAsia" w:cstheme="minorEastAsia"/>
                <w:color w:val="auto"/>
                <w:sz w:val="24"/>
                <w:szCs w:val="24"/>
                <w:highlight w:val="none"/>
                <w:lang w:val="en-US" w:eastAsia="zh-CN" w:bidi="ar-SA"/>
              </w:rPr>
            </w:pPr>
            <w:r>
              <w:rPr>
                <w:rFonts w:hint="eastAsia" w:asciiTheme="minorEastAsia" w:hAnsiTheme="minorEastAsia" w:eastAsiaTheme="minorEastAsia" w:cstheme="minorEastAsia"/>
                <w:color w:val="auto"/>
                <w:spacing w:val="9"/>
                <w:sz w:val="24"/>
                <w:szCs w:val="24"/>
                <w:highlight w:val="none"/>
                <w:lang w:val="en-US" w:eastAsia="zh-CN"/>
              </w:rPr>
              <w:t>移液</w:t>
            </w:r>
            <w:r>
              <w:rPr>
                <w:rFonts w:hint="eastAsia" w:asciiTheme="minorEastAsia" w:hAnsiTheme="minorEastAsia" w:eastAsiaTheme="minorEastAsia" w:cstheme="minorEastAsia"/>
                <w:color w:val="auto"/>
                <w:spacing w:val="9"/>
                <w:sz w:val="24"/>
                <w:szCs w:val="24"/>
                <w:highlight w:val="none"/>
              </w:rPr>
              <w:t>体积不足</w:t>
            </w:r>
          </w:p>
        </w:tc>
        <w:tc>
          <w:tcPr>
            <w:tcW w:w="4779" w:type="dxa"/>
            <w:tcBorders>
              <w:top w:val="single" w:color="auto" w:sz="4" w:space="0"/>
              <w:left w:val="single" w:color="auto" w:sz="4" w:space="0"/>
              <w:bottom w:val="single" w:color="auto" w:sz="4" w:space="0"/>
              <w:right w:val="single" w:color="auto" w:sz="4" w:space="0"/>
            </w:tcBorders>
            <w:vAlign w:val="center"/>
          </w:tcPr>
          <w:p w14:paraId="4485348D">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rPr>
                <w:rFonts w:hint="eastAsia" w:asciiTheme="minorEastAsia" w:hAnsiTheme="minorEastAsia" w:eastAsiaTheme="minorEastAsia" w:cstheme="minorEastAsia"/>
                <w:color w:val="auto"/>
                <w:sz w:val="24"/>
                <w:szCs w:val="24"/>
                <w:highlight w:val="none"/>
                <w:lang w:val="en-US" w:eastAsia="zh-CN" w:bidi="ar-SA"/>
              </w:rPr>
            </w:pPr>
            <w:r>
              <w:rPr>
                <w:rFonts w:hint="eastAsia" w:asciiTheme="minorEastAsia" w:hAnsiTheme="minorEastAsia" w:eastAsiaTheme="minorEastAsia" w:cstheme="minorEastAsia"/>
                <w:color w:val="auto"/>
                <w:spacing w:val="9"/>
                <w:sz w:val="24"/>
                <w:szCs w:val="24"/>
                <w:highlight w:val="none"/>
              </w:rPr>
              <w:t>检查移液器并严格按照操作步骤操作</w:t>
            </w:r>
          </w:p>
        </w:tc>
      </w:tr>
      <w:tr w14:paraId="44A601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7" w:hRule="atLeast"/>
          <w:jc w:val="center"/>
        </w:trPr>
        <w:tc>
          <w:tcPr>
            <w:tcW w:w="1881" w:type="dxa"/>
            <w:vMerge w:val="continue"/>
            <w:tcBorders>
              <w:left w:val="single" w:color="auto" w:sz="4" w:space="0"/>
              <w:bottom w:val="single" w:color="auto" w:sz="4" w:space="0"/>
              <w:right w:val="single" w:color="auto" w:sz="4" w:space="0"/>
            </w:tcBorders>
            <w:vAlign w:val="center"/>
          </w:tcPr>
          <w:p w14:paraId="1CD0DE99">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eastAsia" w:asciiTheme="minorEastAsia" w:hAnsiTheme="minorEastAsia" w:eastAsiaTheme="minorEastAsia" w:cstheme="minorEastAsia"/>
                <w:color w:val="auto"/>
                <w:sz w:val="24"/>
                <w:szCs w:val="24"/>
                <w:highlight w:val="none"/>
                <w:lang w:val="en-US" w:eastAsia="zh-CN"/>
              </w:rPr>
            </w:pPr>
          </w:p>
        </w:tc>
        <w:tc>
          <w:tcPr>
            <w:tcW w:w="2999" w:type="dxa"/>
            <w:tcBorders>
              <w:top w:val="single" w:color="auto" w:sz="4" w:space="0"/>
              <w:left w:val="single" w:color="auto" w:sz="4" w:space="0"/>
              <w:bottom w:val="single" w:color="auto" w:sz="4" w:space="0"/>
              <w:right w:val="single" w:color="auto" w:sz="4" w:space="0"/>
            </w:tcBorders>
            <w:vAlign w:val="center"/>
          </w:tcPr>
          <w:p w14:paraId="024618FE">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rPr>
                <w:rFonts w:hint="default" w:asciiTheme="minorEastAsia" w:hAnsiTheme="minorEastAsia" w:eastAsiaTheme="minorEastAsia" w:cstheme="minorEastAsia"/>
                <w:color w:val="auto"/>
                <w:sz w:val="24"/>
                <w:szCs w:val="24"/>
                <w:highlight w:val="none"/>
                <w:lang w:val="en-US" w:eastAsia="zh-CN" w:bidi="ar-SA"/>
              </w:rPr>
            </w:pPr>
            <w:r>
              <w:rPr>
                <w:rFonts w:hint="eastAsia" w:asciiTheme="minorEastAsia" w:hAnsiTheme="minorEastAsia" w:eastAsiaTheme="minorEastAsia" w:cstheme="minorEastAsia"/>
                <w:color w:val="auto"/>
                <w:spacing w:val="9"/>
                <w:sz w:val="24"/>
                <w:szCs w:val="24"/>
                <w:highlight w:val="none"/>
                <w:lang w:val="en-US" w:eastAsia="zh-CN"/>
              </w:rPr>
              <w:t>试剂添加顺序有误</w:t>
            </w:r>
          </w:p>
        </w:tc>
        <w:tc>
          <w:tcPr>
            <w:tcW w:w="4779" w:type="dxa"/>
            <w:tcBorders>
              <w:top w:val="single" w:color="auto" w:sz="4" w:space="0"/>
              <w:left w:val="single" w:color="auto" w:sz="4" w:space="0"/>
              <w:bottom w:val="single" w:color="auto" w:sz="4" w:space="0"/>
              <w:right w:val="single" w:color="auto" w:sz="4" w:space="0"/>
            </w:tcBorders>
            <w:vAlign w:val="center"/>
          </w:tcPr>
          <w:p w14:paraId="355842F6">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rPr>
                <w:rFonts w:hint="default" w:asciiTheme="minorEastAsia" w:hAnsiTheme="minorEastAsia" w:eastAsiaTheme="minorEastAsia" w:cstheme="minorEastAsia"/>
                <w:color w:val="auto"/>
                <w:sz w:val="24"/>
                <w:szCs w:val="24"/>
                <w:highlight w:val="none"/>
                <w:lang w:val="en-US" w:eastAsia="zh-CN" w:bidi="ar-SA"/>
              </w:rPr>
            </w:pPr>
            <w:r>
              <w:rPr>
                <w:rFonts w:hint="eastAsia" w:asciiTheme="minorEastAsia" w:hAnsiTheme="minorEastAsia" w:eastAsiaTheme="minorEastAsia" w:cstheme="minorEastAsia"/>
                <w:color w:val="auto"/>
                <w:spacing w:val="9"/>
                <w:sz w:val="24"/>
                <w:szCs w:val="24"/>
                <w:highlight w:val="none"/>
              </w:rPr>
              <w:t>检查试剂</w:t>
            </w:r>
            <w:r>
              <w:rPr>
                <w:rFonts w:hint="eastAsia" w:asciiTheme="minorEastAsia" w:hAnsiTheme="minorEastAsia" w:eastAsiaTheme="minorEastAsia" w:cstheme="minorEastAsia"/>
                <w:color w:val="auto"/>
                <w:spacing w:val="9"/>
                <w:sz w:val="24"/>
                <w:szCs w:val="24"/>
                <w:highlight w:val="none"/>
                <w:lang w:val="en-US" w:eastAsia="zh-CN"/>
              </w:rPr>
              <w:t>添加顺序、流程</w:t>
            </w:r>
            <w:r>
              <w:rPr>
                <w:rFonts w:hint="eastAsia" w:asciiTheme="minorEastAsia" w:hAnsiTheme="minorEastAsia" w:eastAsiaTheme="minorEastAsia" w:cstheme="minorEastAsia"/>
                <w:color w:val="auto"/>
                <w:spacing w:val="9"/>
                <w:sz w:val="24"/>
                <w:szCs w:val="24"/>
                <w:highlight w:val="none"/>
                <w:lang w:eastAsia="zh-CN"/>
              </w:rPr>
              <w:t>，</w:t>
            </w:r>
            <w:r>
              <w:rPr>
                <w:rFonts w:hint="eastAsia" w:asciiTheme="minorEastAsia" w:hAnsiTheme="minorEastAsia" w:eastAsiaTheme="minorEastAsia" w:cstheme="minorEastAsia"/>
                <w:color w:val="auto"/>
                <w:spacing w:val="9"/>
                <w:sz w:val="24"/>
                <w:szCs w:val="24"/>
                <w:highlight w:val="none"/>
                <w:lang w:val="en-US" w:eastAsia="zh-CN"/>
              </w:rPr>
              <w:t>重复试验</w:t>
            </w:r>
          </w:p>
        </w:tc>
      </w:tr>
      <w:tr w14:paraId="2E9B9E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7" w:hRule="atLeast"/>
          <w:jc w:val="center"/>
        </w:trPr>
        <w:tc>
          <w:tcPr>
            <w:tcW w:w="1881" w:type="dxa"/>
            <w:vMerge w:val="restart"/>
            <w:tcBorders>
              <w:top w:val="single" w:color="auto" w:sz="4" w:space="0"/>
              <w:left w:val="single" w:color="auto" w:sz="4" w:space="0"/>
              <w:bottom w:val="single" w:color="auto" w:sz="4" w:space="0"/>
              <w:right w:val="single" w:color="auto" w:sz="4" w:space="0"/>
            </w:tcBorders>
            <w:vAlign w:val="center"/>
          </w:tcPr>
          <w:p w14:paraId="0B42CF0F">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OD</w:t>
            </w:r>
            <w:r>
              <w:rPr>
                <w:rFonts w:hint="eastAsia" w:asciiTheme="minorEastAsia" w:hAnsiTheme="minorEastAsia" w:eastAsiaTheme="minorEastAsia" w:cstheme="minorEastAsia"/>
                <w:color w:val="auto"/>
                <w:spacing w:val="5"/>
                <w:sz w:val="24"/>
                <w:szCs w:val="24"/>
                <w:highlight w:val="none"/>
              </w:rPr>
              <w:t>值低</w:t>
            </w:r>
          </w:p>
        </w:tc>
        <w:tc>
          <w:tcPr>
            <w:tcW w:w="2999" w:type="dxa"/>
            <w:tcBorders>
              <w:top w:val="single" w:color="auto" w:sz="4" w:space="0"/>
              <w:left w:val="single" w:color="auto" w:sz="4" w:space="0"/>
              <w:bottom w:val="single" w:color="auto" w:sz="4" w:space="0"/>
              <w:right w:val="single" w:color="auto" w:sz="4" w:space="0"/>
            </w:tcBorders>
            <w:vAlign w:val="center"/>
          </w:tcPr>
          <w:p w14:paraId="7392502A">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rPr>
                <w:rFonts w:hint="eastAsia" w:asciiTheme="minorEastAsia" w:hAnsiTheme="minorEastAsia" w:eastAsiaTheme="minorEastAsia" w:cstheme="minorEastAsia"/>
                <w:color w:val="auto"/>
                <w:sz w:val="24"/>
                <w:szCs w:val="24"/>
                <w:highlight w:val="none"/>
                <w:lang w:val="en-US" w:eastAsia="zh-CN" w:bidi="ar-SA"/>
              </w:rPr>
            </w:pPr>
            <w:r>
              <w:rPr>
                <w:rFonts w:hint="eastAsia" w:asciiTheme="minorEastAsia" w:hAnsiTheme="minorEastAsia" w:eastAsiaTheme="minorEastAsia" w:cstheme="minorEastAsia"/>
                <w:color w:val="auto"/>
                <w:spacing w:val="9"/>
                <w:sz w:val="24"/>
                <w:szCs w:val="24"/>
                <w:highlight w:val="none"/>
              </w:rPr>
              <w:t>酶标仪设置不正确</w:t>
            </w:r>
          </w:p>
        </w:tc>
        <w:tc>
          <w:tcPr>
            <w:tcW w:w="4779" w:type="dxa"/>
            <w:tcBorders>
              <w:left w:val="single" w:color="auto" w:sz="4" w:space="0"/>
            </w:tcBorders>
            <w:vAlign w:val="center"/>
          </w:tcPr>
          <w:p w14:paraId="086F21B4">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rPr>
                <w:rFonts w:hint="eastAsia" w:asciiTheme="minorEastAsia" w:hAnsiTheme="minorEastAsia" w:eastAsiaTheme="minorEastAsia" w:cstheme="minorEastAsia"/>
                <w:color w:val="auto"/>
                <w:sz w:val="24"/>
                <w:szCs w:val="24"/>
                <w:highlight w:val="none"/>
                <w:lang w:val="en-US" w:eastAsia="zh-CN" w:bidi="ar-SA"/>
              </w:rPr>
            </w:pPr>
            <w:r>
              <w:rPr>
                <w:rFonts w:hint="eastAsia" w:asciiTheme="minorEastAsia" w:hAnsiTheme="minorEastAsia" w:eastAsiaTheme="minorEastAsia" w:cstheme="minorEastAsia"/>
                <w:color w:val="auto"/>
                <w:spacing w:val="9"/>
                <w:sz w:val="24"/>
                <w:szCs w:val="24"/>
                <w:highlight w:val="none"/>
              </w:rPr>
              <w:t>检查</w:t>
            </w:r>
            <w:r>
              <w:rPr>
                <w:rFonts w:hint="eastAsia" w:asciiTheme="minorEastAsia" w:hAnsiTheme="minorEastAsia" w:eastAsiaTheme="minorEastAsia" w:cstheme="minorEastAsia"/>
                <w:color w:val="auto"/>
                <w:spacing w:val="9"/>
                <w:sz w:val="24"/>
                <w:szCs w:val="24"/>
                <w:highlight w:val="none"/>
                <w:lang w:val="en-US" w:eastAsia="zh-CN"/>
              </w:rPr>
              <w:t>酶标仪</w:t>
            </w:r>
            <w:r>
              <w:rPr>
                <w:rFonts w:hint="eastAsia" w:asciiTheme="minorEastAsia" w:hAnsiTheme="minorEastAsia" w:eastAsiaTheme="minorEastAsia" w:cstheme="minorEastAsia"/>
                <w:color w:val="auto"/>
                <w:spacing w:val="9"/>
                <w:sz w:val="24"/>
                <w:szCs w:val="24"/>
                <w:highlight w:val="none"/>
              </w:rPr>
              <w:t>波长</w:t>
            </w:r>
            <w:r>
              <w:rPr>
                <w:rFonts w:hint="eastAsia" w:asciiTheme="minorEastAsia" w:hAnsiTheme="minorEastAsia" w:eastAsiaTheme="minorEastAsia" w:cstheme="minorEastAsia"/>
                <w:color w:val="auto"/>
                <w:spacing w:val="9"/>
                <w:sz w:val="24"/>
                <w:szCs w:val="24"/>
                <w:highlight w:val="none"/>
                <w:lang w:val="en-US" w:eastAsia="zh-CN"/>
              </w:rPr>
              <w:t>及滤光片设置</w:t>
            </w:r>
          </w:p>
        </w:tc>
      </w:tr>
      <w:tr w14:paraId="5DFD8A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7" w:hRule="atLeast"/>
          <w:jc w:val="center"/>
        </w:trPr>
        <w:tc>
          <w:tcPr>
            <w:tcW w:w="1881" w:type="dxa"/>
            <w:vMerge w:val="continue"/>
            <w:tcBorders>
              <w:top w:val="single" w:color="auto" w:sz="4" w:space="0"/>
              <w:left w:val="single" w:color="auto" w:sz="4" w:space="0"/>
              <w:bottom w:val="single" w:color="auto" w:sz="4" w:space="0"/>
              <w:right w:val="single" w:color="auto" w:sz="4" w:space="0"/>
            </w:tcBorders>
            <w:vAlign w:val="center"/>
          </w:tcPr>
          <w:p w14:paraId="136AA846">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eastAsia" w:asciiTheme="minorEastAsia" w:hAnsiTheme="minorEastAsia" w:eastAsiaTheme="minorEastAsia" w:cstheme="minorEastAsia"/>
                <w:color w:val="auto"/>
                <w:sz w:val="24"/>
                <w:szCs w:val="24"/>
                <w:highlight w:val="none"/>
              </w:rPr>
            </w:pPr>
          </w:p>
        </w:tc>
        <w:tc>
          <w:tcPr>
            <w:tcW w:w="2999" w:type="dxa"/>
            <w:tcBorders>
              <w:top w:val="single" w:color="auto" w:sz="4" w:space="0"/>
              <w:left w:val="single" w:color="auto" w:sz="4" w:space="0"/>
              <w:bottom w:val="single" w:color="auto" w:sz="4" w:space="0"/>
              <w:right w:val="single" w:color="auto" w:sz="4" w:space="0"/>
            </w:tcBorders>
            <w:vAlign w:val="center"/>
          </w:tcPr>
          <w:p w14:paraId="00623514">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rPr>
                <w:rFonts w:hint="eastAsia" w:asciiTheme="minorEastAsia" w:hAnsiTheme="minorEastAsia" w:eastAsiaTheme="minorEastAsia" w:cstheme="minorEastAsia"/>
                <w:color w:val="auto"/>
                <w:sz w:val="24"/>
                <w:szCs w:val="24"/>
                <w:highlight w:val="none"/>
                <w:lang w:val="en-US" w:eastAsia="zh-CN" w:bidi="ar-SA"/>
              </w:rPr>
            </w:pPr>
            <w:r>
              <w:rPr>
                <w:rFonts w:hint="eastAsia" w:asciiTheme="minorEastAsia" w:hAnsiTheme="minorEastAsia" w:eastAsiaTheme="minorEastAsia" w:cstheme="minorEastAsia"/>
                <w:color w:val="auto"/>
                <w:spacing w:val="9"/>
                <w:sz w:val="24"/>
                <w:szCs w:val="24"/>
                <w:highlight w:val="none"/>
              </w:rPr>
              <w:t>读板时等待时间太长</w:t>
            </w:r>
          </w:p>
        </w:tc>
        <w:tc>
          <w:tcPr>
            <w:tcW w:w="4779" w:type="dxa"/>
            <w:tcBorders>
              <w:left w:val="single" w:color="auto" w:sz="4" w:space="0"/>
            </w:tcBorders>
            <w:vAlign w:val="center"/>
          </w:tcPr>
          <w:p w14:paraId="03014D0C">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rPr>
                <w:rFonts w:hint="eastAsia" w:asciiTheme="minorEastAsia" w:hAnsiTheme="minorEastAsia" w:eastAsiaTheme="minorEastAsia" w:cstheme="minorEastAsia"/>
                <w:color w:val="auto"/>
                <w:sz w:val="24"/>
                <w:szCs w:val="24"/>
                <w:highlight w:val="none"/>
                <w:lang w:val="en-US" w:eastAsia="zh-CN" w:bidi="ar-SA"/>
              </w:rPr>
            </w:pPr>
            <w:r>
              <w:rPr>
                <w:rFonts w:hint="eastAsia" w:asciiTheme="minorEastAsia" w:hAnsiTheme="minorEastAsia" w:eastAsiaTheme="minorEastAsia" w:cstheme="minorEastAsia"/>
                <w:color w:val="auto"/>
                <w:spacing w:val="8"/>
                <w:sz w:val="24"/>
                <w:szCs w:val="24"/>
                <w:highlight w:val="none"/>
              </w:rPr>
              <w:t>及时读板</w:t>
            </w:r>
          </w:p>
        </w:tc>
      </w:tr>
      <w:tr w14:paraId="2D1F87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7" w:hRule="atLeast"/>
          <w:jc w:val="center"/>
        </w:trPr>
        <w:tc>
          <w:tcPr>
            <w:tcW w:w="1881" w:type="dxa"/>
            <w:vMerge w:val="continue"/>
            <w:tcBorders>
              <w:top w:val="single" w:color="auto" w:sz="4" w:space="0"/>
              <w:left w:val="single" w:color="auto" w:sz="4" w:space="0"/>
              <w:bottom w:val="single" w:color="auto" w:sz="4" w:space="0"/>
              <w:right w:val="single" w:color="auto" w:sz="4" w:space="0"/>
            </w:tcBorders>
            <w:vAlign w:val="center"/>
          </w:tcPr>
          <w:p w14:paraId="17675455">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eastAsia" w:asciiTheme="minorEastAsia" w:hAnsiTheme="minorEastAsia" w:eastAsiaTheme="minorEastAsia" w:cstheme="minorEastAsia"/>
                <w:color w:val="auto"/>
                <w:sz w:val="24"/>
                <w:szCs w:val="24"/>
                <w:highlight w:val="none"/>
              </w:rPr>
            </w:pPr>
          </w:p>
        </w:tc>
        <w:tc>
          <w:tcPr>
            <w:tcW w:w="2999" w:type="dxa"/>
            <w:tcBorders>
              <w:top w:val="single" w:color="auto" w:sz="4" w:space="0"/>
              <w:left w:val="single" w:color="auto" w:sz="4" w:space="0"/>
              <w:bottom w:val="single" w:color="auto" w:sz="4" w:space="0"/>
              <w:right w:val="single" w:color="auto" w:sz="4" w:space="0"/>
            </w:tcBorders>
            <w:vAlign w:val="center"/>
          </w:tcPr>
          <w:p w14:paraId="71B6D4B0">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rPr>
                <w:rFonts w:hint="eastAsia" w:asciiTheme="minorEastAsia" w:hAnsiTheme="minorEastAsia" w:eastAsiaTheme="minorEastAsia" w:cstheme="minorEastAsia"/>
                <w:color w:val="auto"/>
                <w:sz w:val="24"/>
                <w:szCs w:val="24"/>
                <w:highlight w:val="none"/>
                <w:lang w:val="en-US" w:eastAsia="zh-CN" w:bidi="ar-SA"/>
              </w:rPr>
            </w:pPr>
            <w:r>
              <w:rPr>
                <w:rFonts w:hint="eastAsia" w:asciiTheme="minorEastAsia" w:hAnsiTheme="minorEastAsia" w:eastAsiaTheme="minorEastAsia" w:cstheme="minorEastAsia"/>
                <w:color w:val="auto"/>
                <w:spacing w:val="9"/>
                <w:sz w:val="24"/>
                <w:szCs w:val="24"/>
                <w:highlight w:val="none"/>
                <w:lang w:eastAsia="zh-CN"/>
              </w:rPr>
              <w:t>样品</w:t>
            </w:r>
            <w:r>
              <w:rPr>
                <w:rFonts w:hint="eastAsia" w:asciiTheme="minorEastAsia" w:hAnsiTheme="minorEastAsia" w:eastAsiaTheme="minorEastAsia" w:cstheme="minorEastAsia"/>
                <w:color w:val="auto"/>
                <w:spacing w:val="9"/>
                <w:sz w:val="24"/>
                <w:szCs w:val="24"/>
                <w:highlight w:val="none"/>
              </w:rPr>
              <w:t>含量过高</w:t>
            </w:r>
          </w:p>
        </w:tc>
        <w:tc>
          <w:tcPr>
            <w:tcW w:w="4779" w:type="dxa"/>
            <w:tcBorders>
              <w:left w:val="single" w:color="auto" w:sz="4" w:space="0"/>
            </w:tcBorders>
            <w:vAlign w:val="center"/>
          </w:tcPr>
          <w:p w14:paraId="104E293B">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rPr>
                <w:rFonts w:hint="eastAsia" w:asciiTheme="minorEastAsia" w:hAnsiTheme="minorEastAsia" w:eastAsiaTheme="minorEastAsia" w:cstheme="minorEastAsia"/>
                <w:color w:val="auto"/>
                <w:sz w:val="24"/>
                <w:szCs w:val="24"/>
                <w:highlight w:val="none"/>
                <w:lang w:val="en-US" w:eastAsia="zh-CN" w:bidi="ar-SA"/>
              </w:rPr>
            </w:pPr>
            <w:r>
              <w:rPr>
                <w:rFonts w:hint="eastAsia" w:asciiTheme="minorEastAsia" w:hAnsiTheme="minorEastAsia" w:eastAsiaTheme="minorEastAsia" w:cstheme="minorEastAsia"/>
                <w:color w:val="auto"/>
                <w:spacing w:val="9"/>
                <w:sz w:val="24"/>
                <w:szCs w:val="24"/>
                <w:highlight w:val="none"/>
              </w:rPr>
              <w:t>通过预实验确定合适的稀释倍数</w:t>
            </w:r>
          </w:p>
        </w:tc>
      </w:tr>
      <w:tr w14:paraId="0A1BEB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7" w:hRule="atLeast"/>
          <w:jc w:val="center"/>
        </w:trPr>
        <w:tc>
          <w:tcPr>
            <w:tcW w:w="1881" w:type="dxa"/>
            <w:vMerge w:val="continue"/>
            <w:tcBorders>
              <w:top w:val="single" w:color="auto" w:sz="4" w:space="0"/>
              <w:left w:val="single" w:color="auto" w:sz="4" w:space="0"/>
              <w:bottom w:val="single" w:color="auto" w:sz="4" w:space="0"/>
              <w:right w:val="single" w:color="auto" w:sz="4" w:space="0"/>
            </w:tcBorders>
            <w:vAlign w:val="center"/>
          </w:tcPr>
          <w:p w14:paraId="65335C76">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eastAsia" w:asciiTheme="minorEastAsia" w:hAnsiTheme="minorEastAsia" w:eastAsiaTheme="minorEastAsia" w:cstheme="minorEastAsia"/>
                <w:color w:val="auto"/>
                <w:sz w:val="24"/>
                <w:szCs w:val="24"/>
                <w:highlight w:val="none"/>
              </w:rPr>
            </w:pPr>
          </w:p>
        </w:tc>
        <w:tc>
          <w:tcPr>
            <w:tcW w:w="2999" w:type="dxa"/>
            <w:tcBorders>
              <w:top w:val="single" w:color="auto" w:sz="4" w:space="0"/>
              <w:left w:val="single" w:color="auto" w:sz="4" w:space="0"/>
              <w:bottom w:val="single" w:color="auto" w:sz="4" w:space="0"/>
              <w:right w:val="single" w:color="auto" w:sz="4" w:space="0"/>
            </w:tcBorders>
            <w:vAlign w:val="center"/>
          </w:tcPr>
          <w:p w14:paraId="23724A56">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rPr>
                <w:rFonts w:hint="eastAsia" w:asciiTheme="minorEastAsia" w:hAnsiTheme="minorEastAsia" w:eastAsiaTheme="minorEastAsia" w:cstheme="minorEastAsia"/>
                <w:color w:val="auto"/>
                <w:sz w:val="24"/>
                <w:szCs w:val="24"/>
                <w:highlight w:val="none"/>
                <w:lang w:val="en-US" w:eastAsia="zh-CN" w:bidi="ar-SA"/>
              </w:rPr>
            </w:pPr>
            <w:r>
              <w:rPr>
                <w:rFonts w:hint="eastAsia" w:asciiTheme="minorEastAsia" w:hAnsiTheme="minorEastAsia" w:eastAsiaTheme="minorEastAsia" w:cstheme="minorEastAsia"/>
                <w:color w:val="auto"/>
                <w:spacing w:val="9"/>
                <w:sz w:val="24"/>
                <w:szCs w:val="24"/>
                <w:highlight w:val="none"/>
                <w:lang w:eastAsia="zh-CN"/>
              </w:rPr>
              <w:t>样品</w:t>
            </w:r>
            <w:r>
              <w:rPr>
                <w:rFonts w:hint="eastAsia" w:asciiTheme="minorEastAsia" w:hAnsiTheme="minorEastAsia" w:eastAsiaTheme="minorEastAsia" w:cstheme="minorEastAsia"/>
                <w:color w:val="auto"/>
                <w:spacing w:val="9"/>
                <w:sz w:val="24"/>
                <w:szCs w:val="24"/>
                <w:highlight w:val="none"/>
              </w:rPr>
              <w:t>含量过低</w:t>
            </w:r>
          </w:p>
        </w:tc>
        <w:tc>
          <w:tcPr>
            <w:tcW w:w="4779" w:type="dxa"/>
            <w:tcBorders>
              <w:left w:val="single" w:color="auto" w:sz="4" w:space="0"/>
            </w:tcBorders>
            <w:vAlign w:val="center"/>
          </w:tcPr>
          <w:p w14:paraId="7C8DEDD8">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rPr>
                <w:rFonts w:hint="eastAsia" w:asciiTheme="minorEastAsia" w:hAnsiTheme="minorEastAsia" w:eastAsiaTheme="minorEastAsia" w:cstheme="minorEastAsia"/>
                <w:color w:val="auto"/>
                <w:sz w:val="24"/>
                <w:szCs w:val="24"/>
                <w:highlight w:val="none"/>
                <w:lang w:val="en-US" w:eastAsia="zh-CN" w:bidi="ar-SA"/>
              </w:rPr>
            </w:pPr>
            <w:r>
              <w:rPr>
                <w:rFonts w:hint="eastAsia" w:asciiTheme="minorEastAsia" w:hAnsiTheme="minorEastAsia" w:eastAsiaTheme="minorEastAsia" w:cstheme="minorEastAsia"/>
                <w:color w:val="auto"/>
                <w:spacing w:val="9"/>
                <w:sz w:val="24"/>
                <w:szCs w:val="24"/>
                <w:highlight w:val="none"/>
              </w:rPr>
              <w:t>通过预实验确定合适的稀释倍数</w:t>
            </w:r>
          </w:p>
        </w:tc>
      </w:tr>
      <w:tr w14:paraId="1A50CD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7" w:hRule="atLeast"/>
          <w:jc w:val="center"/>
        </w:trPr>
        <w:tc>
          <w:tcPr>
            <w:tcW w:w="1881" w:type="dxa"/>
            <w:vMerge w:val="restart"/>
            <w:tcBorders>
              <w:top w:val="single" w:color="auto" w:sz="4" w:space="0"/>
              <w:left w:val="single" w:color="auto" w:sz="4" w:space="0"/>
              <w:bottom w:val="single" w:color="auto" w:sz="4" w:space="0"/>
              <w:right w:val="single" w:color="auto" w:sz="4" w:space="0"/>
            </w:tcBorders>
            <w:vAlign w:val="center"/>
          </w:tcPr>
          <w:p w14:paraId="27BF0BD7">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标准曲线</w:t>
            </w:r>
          </w:p>
          <w:p w14:paraId="5E2021D5">
            <w:pPr>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梯度不佳</w:t>
            </w:r>
          </w:p>
        </w:tc>
        <w:tc>
          <w:tcPr>
            <w:tcW w:w="2999" w:type="dxa"/>
            <w:tcBorders>
              <w:top w:val="single" w:color="auto" w:sz="4" w:space="0"/>
              <w:left w:val="single" w:color="auto" w:sz="4" w:space="0"/>
              <w:bottom w:val="single" w:color="auto" w:sz="4" w:space="0"/>
              <w:right w:val="single" w:color="auto" w:sz="4" w:space="0"/>
            </w:tcBorders>
            <w:vAlign w:val="center"/>
          </w:tcPr>
          <w:p w14:paraId="37B01EBF">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rPr>
                <w:rFonts w:hint="eastAsia" w:asciiTheme="minorEastAsia" w:hAnsiTheme="minorEastAsia" w:eastAsiaTheme="minorEastAsia" w:cstheme="minorEastAsia"/>
                <w:color w:val="auto"/>
                <w:sz w:val="24"/>
                <w:szCs w:val="24"/>
                <w:highlight w:val="none"/>
                <w:lang w:val="en-US" w:eastAsia="zh-CN" w:bidi="ar-SA"/>
              </w:rPr>
            </w:pPr>
            <w:r>
              <w:rPr>
                <w:rFonts w:hint="eastAsia" w:asciiTheme="minorEastAsia" w:hAnsiTheme="minorEastAsia" w:eastAsiaTheme="minorEastAsia" w:cstheme="minorEastAsia"/>
                <w:color w:val="auto"/>
                <w:spacing w:val="9"/>
                <w:sz w:val="24"/>
                <w:szCs w:val="24"/>
                <w:highlight w:val="none"/>
              </w:rPr>
              <w:t>标准品稀释不正确</w:t>
            </w:r>
          </w:p>
        </w:tc>
        <w:tc>
          <w:tcPr>
            <w:tcW w:w="4779" w:type="dxa"/>
            <w:tcBorders>
              <w:top w:val="single" w:color="auto" w:sz="4" w:space="0"/>
              <w:left w:val="single" w:color="auto" w:sz="4" w:space="0"/>
              <w:bottom w:val="single" w:color="auto" w:sz="4" w:space="0"/>
              <w:right w:val="single" w:color="auto" w:sz="4" w:space="0"/>
            </w:tcBorders>
            <w:vAlign w:val="center"/>
          </w:tcPr>
          <w:p w14:paraId="496954C2">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rPr>
                <w:rFonts w:hint="eastAsia" w:asciiTheme="minorEastAsia" w:hAnsiTheme="minorEastAsia" w:eastAsiaTheme="minorEastAsia" w:cstheme="minorEastAsia"/>
                <w:color w:val="auto"/>
                <w:sz w:val="24"/>
                <w:szCs w:val="24"/>
                <w:highlight w:val="none"/>
                <w:lang w:val="en-US" w:eastAsia="zh-CN" w:bidi="ar-SA"/>
              </w:rPr>
            </w:pPr>
            <w:r>
              <w:rPr>
                <w:rFonts w:hint="eastAsia" w:asciiTheme="minorEastAsia" w:hAnsiTheme="minorEastAsia" w:eastAsiaTheme="minorEastAsia" w:cstheme="minorEastAsia"/>
                <w:color w:val="auto"/>
                <w:spacing w:val="9"/>
                <w:sz w:val="24"/>
                <w:szCs w:val="24"/>
                <w:highlight w:val="none"/>
              </w:rPr>
              <w:t>确保标准品</w:t>
            </w:r>
            <w:r>
              <w:rPr>
                <w:rFonts w:hint="eastAsia" w:asciiTheme="minorEastAsia" w:hAnsiTheme="minorEastAsia" w:eastAsiaTheme="minorEastAsia" w:cstheme="minorEastAsia"/>
                <w:color w:val="auto"/>
                <w:spacing w:val="9"/>
                <w:sz w:val="24"/>
                <w:szCs w:val="24"/>
                <w:highlight w:val="none"/>
                <w:lang w:val="en-US" w:eastAsia="zh-CN"/>
              </w:rPr>
              <w:t>完全</w:t>
            </w:r>
            <w:r>
              <w:rPr>
                <w:rFonts w:hint="eastAsia" w:asciiTheme="minorEastAsia" w:hAnsiTheme="minorEastAsia" w:eastAsiaTheme="minorEastAsia" w:cstheme="minorEastAsia"/>
                <w:color w:val="auto"/>
                <w:spacing w:val="9"/>
                <w:sz w:val="24"/>
                <w:szCs w:val="24"/>
                <w:highlight w:val="none"/>
              </w:rPr>
              <w:t>溶解和</w:t>
            </w:r>
            <w:r>
              <w:rPr>
                <w:rFonts w:hint="eastAsia" w:asciiTheme="minorEastAsia" w:hAnsiTheme="minorEastAsia" w:eastAsiaTheme="minorEastAsia" w:cstheme="minorEastAsia"/>
                <w:color w:val="auto"/>
                <w:spacing w:val="7"/>
                <w:sz w:val="24"/>
                <w:szCs w:val="24"/>
                <w:highlight w:val="none"/>
              </w:rPr>
              <w:t>稀释</w:t>
            </w:r>
          </w:p>
        </w:tc>
      </w:tr>
      <w:tr w14:paraId="7060F1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7" w:hRule="atLeast"/>
          <w:jc w:val="center"/>
        </w:trPr>
        <w:tc>
          <w:tcPr>
            <w:tcW w:w="1881" w:type="dxa"/>
            <w:vMerge w:val="continue"/>
            <w:tcBorders>
              <w:top w:val="single" w:color="auto" w:sz="4" w:space="0"/>
              <w:left w:val="single" w:color="auto" w:sz="4" w:space="0"/>
              <w:bottom w:val="single" w:color="auto" w:sz="4" w:space="0"/>
              <w:right w:val="single" w:color="auto" w:sz="4" w:space="0"/>
            </w:tcBorders>
            <w:vAlign w:val="center"/>
          </w:tcPr>
          <w:p w14:paraId="63F990EC">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eastAsia" w:asciiTheme="minorEastAsia" w:hAnsiTheme="minorEastAsia" w:eastAsiaTheme="minorEastAsia" w:cstheme="minorEastAsia"/>
                <w:color w:val="auto"/>
                <w:sz w:val="24"/>
                <w:szCs w:val="24"/>
                <w:highlight w:val="none"/>
              </w:rPr>
            </w:pPr>
          </w:p>
        </w:tc>
        <w:tc>
          <w:tcPr>
            <w:tcW w:w="2999" w:type="dxa"/>
            <w:tcBorders>
              <w:top w:val="single" w:color="auto" w:sz="4" w:space="0"/>
              <w:left w:val="single" w:color="auto" w:sz="4" w:space="0"/>
              <w:bottom w:val="single" w:color="auto" w:sz="4" w:space="0"/>
              <w:right w:val="single" w:color="auto" w:sz="4" w:space="0"/>
            </w:tcBorders>
            <w:vAlign w:val="center"/>
          </w:tcPr>
          <w:p w14:paraId="4E1E1E18">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rPr>
                <w:rFonts w:hint="eastAsia" w:asciiTheme="minorEastAsia" w:hAnsiTheme="minorEastAsia" w:eastAsiaTheme="minorEastAsia" w:cstheme="minorEastAsia"/>
                <w:color w:val="auto"/>
                <w:sz w:val="24"/>
                <w:szCs w:val="24"/>
                <w:highlight w:val="none"/>
                <w:lang w:val="en-US" w:eastAsia="zh-CN" w:bidi="ar-SA"/>
              </w:rPr>
            </w:pPr>
            <w:r>
              <w:rPr>
                <w:rFonts w:hint="eastAsia" w:asciiTheme="minorEastAsia" w:hAnsiTheme="minorEastAsia" w:eastAsiaTheme="minorEastAsia" w:cstheme="minorEastAsia"/>
                <w:color w:val="auto"/>
                <w:spacing w:val="9"/>
                <w:sz w:val="24"/>
                <w:szCs w:val="24"/>
                <w:highlight w:val="none"/>
              </w:rPr>
              <w:t>移液不准确</w:t>
            </w:r>
          </w:p>
        </w:tc>
        <w:tc>
          <w:tcPr>
            <w:tcW w:w="4779" w:type="dxa"/>
            <w:tcBorders>
              <w:top w:val="single" w:color="auto" w:sz="4" w:space="0"/>
              <w:left w:val="single" w:color="auto" w:sz="4" w:space="0"/>
              <w:bottom w:val="single" w:color="auto" w:sz="4" w:space="0"/>
              <w:right w:val="single" w:color="auto" w:sz="4" w:space="0"/>
            </w:tcBorders>
            <w:vAlign w:val="center"/>
          </w:tcPr>
          <w:p w14:paraId="6EE56950">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rPr>
                <w:rFonts w:hint="eastAsia" w:asciiTheme="minorEastAsia" w:hAnsiTheme="minorEastAsia" w:eastAsiaTheme="minorEastAsia" w:cstheme="minorEastAsia"/>
                <w:color w:val="auto"/>
                <w:sz w:val="24"/>
                <w:szCs w:val="24"/>
                <w:highlight w:val="none"/>
                <w:lang w:val="en-US" w:eastAsia="zh-CN" w:bidi="ar-SA"/>
              </w:rPr>
            </w:pPr>
            <w:r>
              <w:rPr>
                <w:rFonts w:hint="eastAsia" w:asciiTheme="minorEastAsia" w:hAnsiTheme="minorEastAsia" w:eastAsiaTheme="minorEastAsia" w:cstheme="minorEastAsia"/>
                <w:color w:val="auto"/>
                <w:spacing w:val="9"/>
                <w:sz w:val="24"/>
                <w:szCs w:val="24"/>
                <w:highlight w:val="none"/>
              </w:rPr>
              <w:t>定期校准移液器并检查</w:t>
            </w:r>
            <w:r>
              <w:rPr>
                <w:rFonts w:hint="eastAsia" w:asciiTheme="minorEastAsia" w:hAnsiTheme="minorEastAsia" w:eastAsiaTheme="minorEastAsia" w:cstheme="minorEastAsia"/>
                <w:color w:val="auto"/>
                <w:spacing w:val="9"/>
                <w:sz w:val="24"/>
                <w:szCs w:val="24"/>
                <w:highlight w:val="none"/>
                <w:lang w:val="en-US" w:eastAsia="zh-CN"/>
              </w:rPr>
              <w:t>吸头</w:t>
            </w:r>
            <w:r>
              <w:rPr>
                <w:rFonts w:hint="eastAsia" w:asciiTheme="minorEastAsia" w:hAnsiTheme="minorEastAsia" w:eastAsiaTheme="minorEastAsia" w:cstheme="minorEastAsia"/>
                <w:color w:val="auto"/>
                <w:spacing w:val="9"/>
                <w:sz w:val="24"/>
                <w:szCs w:val="24"/>
                <w:highlight w:val="none"/>
              </w:rPr>
              <w:t>密封</w:t>
            </w:r>
            <w:r>
              <w:rPr>
                <w:rFonts w:hint="eastAsia" w:asciiTheme="minorEastAsia" w:hAnsiTheme="minorEastAsia" w:eastAsiaTheme="minorEastAsia" w:cstheme="minorEastAsia"/>
                <w:color w:val="auto"/>
                <w:spacing w:val="6"/>
                <w:sz w:val="24"/>
                <w:szCs w:val="24"/>
                <w:highlight w:val="none"/>
              </w:rPr>
              <w:t>性</w:t>
            </w:r>
          </w:p>
        </w:tc>
      </w:tr>
      <w:tr w14:paraId="115106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7" w:hRule="atLeast"/>
          <w:jc w:val="center"/>
        </w:trPr>
        <w:tc>
          <w:tcPr>
            <w:tcW w:w="1881" w:type="dxa"/>
            <w:vMerge w:val="continue"/>
            <w:tcBorders>
              <w:top w:val="single" w:color="auto" w:sz="4" w:space="0"/>
              <w:left w:val="single" w:color="auto" w:sz="4" w:space="0"/>
              <w:bottom w:val="single" w:color="auto" w:sz="4" w:space="0"/>
              <w:right w:val="single" w:color="auto" w:sz="4" w:space="0"/>
            </w:tcBorders>
            <w:vAlign w:val="center"/>
          </w:tcPr>
          <w:p w14:paraId="4E859C2A">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eastAsia" w:asciiTheme="minorEastAsia" w:hAnsiTheme="minorEastAsia" w:eastAsiaTheme="minorEastAsia" w:cstheme="minorEastAsia"/>
                <w:color w:val="auto"/>
                <w:sz w:val="24"/>
                <w:szCs w:val="24"/>
                <w:highlight w:val="none"/>
              </w:rPr>
            </w:pPr>
          </w:p>
        </w:tc>
        <w:tc>
          <w:tcPr>
            <w:tcW w:w="2999" w:type="dxa"/>
            <w:tcBorders>
              <w:top w:val="single" w:color="auto" w:sz="4" w:space="0"/>
              <w:left w:val="single" w:color="auto" w:sz="4" w:space="0"/>
              <w:bottom w:val="single" w:color="auto" w:sz="4" w:space="0"/>
              <w:right w:val="single" w:color="auto" w:sz="4" w:space="0"/>
            </w:tcBorders>
            <w:vAlign w:val="center"/>
          </w:tcPr>
          <w:p w14:paraId="23D9343E">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rPr>
                <w:rFonts w:hint="eastAsia" w:asciiTheme="minorEastAsia" w:hAnsiTheme="minorEastAsia" w:eastAsiaTheme="minorEastAsia" w:cstheme="minorEastAsia"/>
                <w:color w:val="auto"/>
                <w:sz w:val="24"/>
                <w:szCs w:val="24"/>
                <w:highlight w:val="none"/>
                <w:lang w:val="en-US" w:eastAsia="zh-CN" w:bidi="ar-SA"/>
              </w:rPr>
            </w:pPr>
            <w:r>
              <w:rPr>
                <w:rFonts w:hint="eastAsia" w:asciiTheme="minorEastAsia" w:hAnsiTheme="minorEastAsia" w:eastAsiaTheme="minorEastAsia" w:cstheme="minorEastAsia"/>
                <w:color w:val="auto"/>
                <w:spacing w:val="9"/>
                <w:sz w:val="24"/>
                <w:szCs w:val="24"/>
                <w:highlight w:val="none"/>
              </w:rPr>
              <w:t>洗板不</w:t>
            </w:r>
            <w:r>
              <w:rPr>
                <w:rFonts w:hint="eastAsia" w:asciiTheme="minorEastAsia" w:hAnsiTheme="minorEastAsia" w:eastAsiaTheme="minorEastAsia" w:cstheme="minorEastAsia"/>
                <w:color w:val="auto"/>
                <w:spacing w:val="9"/>
                <w:sz w:val="24"/>
                <w:szCs w:val="24"/>
                <w:highlight w:val="none"/>
                <w:lang w:val="en-US" w:eastAsia="zh-CN"/>
              </w:rPr>
              <w:t>充分</w:t>
            </w:r>
          </w:p>
        </w:tc>
        <w:tc>
          <w:tcPr>
            <w:tcW w:w="4779" w:type="dxa"/>
            <w:tcBorders>
              <w:top w:val="single" w:color="auto" w:sz="4" w:space="0"/>
              <w:left w:val="single" w:color="auto" w:sz="4" w:space="0"/>
              <w:bottom w:val="single" w:color="auto" w:sz="4" w:space="0"/>
              <w:right w:val="single" w:color="auto" w:sz="4" w:space="0"/>
            </w:tcBorders>
            <w:vAlign w:val="center"/>
          </w:tcPr>
          <w:p w14:paraId="3D2DF3E2">
            <w:pPr>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rPr>
                <w:rFonts w:hint="eastAsia" w:asciiTheme="minorEastAsia" w:hAnsiTheme="minorEastAsia" w:eastAsiaTheme="minorEastAsia" w:cstheme="minorEastAsia"/>
                <w:color w:val="auto"/>
                <w:sz w:val="24"/>
                <w:szCs w:val="24"/>
                <w:highlight w:val="none"/>
                <w:lang w:val="en-US" w:eastAsia="zh-CN" w:bidi="ar-SA"/>
              </w:rPr>
            </w:pPr>
            <w:r>
              <w:rPr>
                <w:rFonts w:hint="eastAsia" w:asciiTheme="minorEastAsia" w:hAnsiTheme="minorEastAsia" w:eastAsiaTheme="minorEastAsia" w:cstheme="minorEastAsia"/>
                <w:color w:val="auto"/>
                <w:spacing w:val="9"/>
                <w:sz w:val="24"/>
                <w:szCs w:val="24"/>
                <w:highlight w:val="none"/>
                <w:lang w:val="en-US" w:eastAsia="zh-CN"/>
              </w:rPr>
              <w:t>保证洗涤次数、时间及加液量</w:t>
            </w:r>
          </w:p>
        </w:tc>
      </w:tr>
      <w:tr w14:paraId="086AFD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7" w:hRule="atLeast"/>
          <w:jc w:val="center"/>
        </w:trPr>
        <w:tc>
          <w:tcPr>
            <w:tcW w:w="1881" w:type="dxa"/>
            <w:vMerge w:val="restart"/>
            <w:tcBorders>
              <w:top w:val="single" w:color="auto" w:sz="4" w:space="0"/>
              <w:left w:val="single" w:color="auto" w:sz="4" w:space="0"/>
              <w:bottom w:val="single" w:color="auto" w:sz="4" w:space="0"/>
              <w:right w:val="single" w:color="auto" w:sz="4" w:space="0"/>
            </w:tcBorders>
            <w:vAlign w:val="center"/>
          </w:tcPr>
          <w:p w14:paraId="5433C784">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背景值高</w:t>
            </w:r>
          </w:p>
        </w:tc>
        <w:tc>
          <w:tcPr>
            <w:tcW w:w="2999" w:type="dxa"/>
            <w:tcBorders>
              <w:top w:val="single" w:color="auto" w:sz="4" w:space="0"/>
              <w:left w:val="single" w:color="auto" w:sz="4" w:space="0"/>
              <w:bottom w:val="single" w:color="auto" w:sz="4" w:space="0"/>
              <w:right w:val="single" w:color="auto" w:sz="4" w:space="0"/>
            </w:tcBorders>
            <w:vAlign w:val="center"/>
          </w:tcPr>
          <w:p w14:paraId="66A8C0EB">
            <w:pPr>
              <w:keepNext w:val="0"/>
              <w:keepLines w:val="0"/>
              <w:pageBreakBefore w:val="0"/>
              <w:widowControl/>
              <w:kinsoku/>
              <w:wordWrap/>
              <w:overflowPunct/>
              <w:topLinePunct w:val="0"/>
              <w:autoSpaceDE/>
              <w:autoSpaceDN/>
              <w:bidi w:val="0"/>
              <w:adjustRightInd w:val="0"/>
              <w:snapToGrid w:val="0"/>
              <w:spacing w:after="0" w:line="240" w:lineRule="auto"/>
              <w:ind w:left="0" w:right="0" w:firstLine="0"/>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8"/>
                <w:sz w:val="24"/>
                <w:szCs w:val="24"/>
                <w:highlight w:val="none"/>
              </w:rPr>
              <w:t>显色液被污染</w:t>
            </w:r>
          </w:p>
        </w:tc>
        <w:tc>
          <w:tcPr>
            <w:tcW w:w="4779" w:type="dxa"/>
            <w:tcBorders>
              <w:top w:val="single" w:color="auto" w:sz="4" w:space="0"/>
              <w:left w:val="single" w:color="auto" w:sz="4" w:space="0"/>
              <w:bottom w:val="single" w:color="auto" w:sz="4" w:space="0"/>
              <w:right w:val="single" w:color="auto" w:sz="4" w:space="0"/>
            </w:tcBorders>
            <w:vAlign w:val="center"/>
          </w:tcPr>
          <w:p w14:paraId="047DEAC5">
            <w:pPr>
              <w:keepNext w:val="0"/>
              <w:keepLines w:val="0"/>
              <w:pageBreakBefore w:val="0"/>
              <w:widowControl/>
              <w:kinsoku/>
              <w:wordWrap/>
              <w:overflowPunct/>
              <w:topLinePunct w:val="0"/>
              <w:autoSpaceDE/>
              <w:autoSpaceDN/>
              <w:bidi w:val="0"/>
              <w:adjustRightInd w:val="0"/>
              <w:snapToGrid w:val="0"/>
              <w:spacing w:after="0" w:line="240" w:lineRule="auto"/>
              <w:ind w:left="0" w:right="0" w:firstLine="0"/>
              <w:jc w:val="center"/>
              <w:textAlignment w:val="auto"/>
              <w:rPr>
                <w:rFonts w:hint="default"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pacing w:val="9"/>
                <w:sz w:val="24"/>
                <w:szCs w:val="24"/>
                <w:highlight w:val="none"/>
                <w:lang w:val="en-US" w:eastAsia="zh-CN"/>
              </w:rPr>
              <w:t>加液前检查显色液是否为无色透明，请勿使用变蓝的底物</w:t>
            </w:r>
          </w:p>
        </w:tc>
      </w:tr>
      <w:tr w14:paraId="04DCF5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7" w:hRule="atLeast"/>
          <w:jc w:val="center"/>
        </w:trPr>
        <w:tc>
          <w:tcPr>
            <w:tcW w:w="1881" w:type="dxa"/>
            <w:vMerge w:val="continue"/>
            <w:tcBorders>
              <w:top w:val="single" w:color="auto" w:sz="4" w:space="0"/>
              <w:left w:val="single" w:color="auto" w:sz="4" w:space="0"/>
              <w:bottom w:val="single" w:color="auto" w:sz="4" w:space="0"/>
              <w:right w:val="single" w:color="auto" w:sz="4" w:space="0"/>
            </w:tcBorders>
            <w:vAlign w:val="center"/>
          </w:tcPr>
          <w:p w14:paraId="5B5ADDE1">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eastAsia" w:asciiTheme="minorEastAsia" w:hAnsiTheme="minorEastAsia" w:eastAsiaTheme="minorEastAsia" w:cstheme="minorEastAsia"/>
                <w:color w:val="auto"/>
                <w:sz w:val="24"/>
                <w:szCs w:val="24"/>
                <w:highlight w:val="none"/>
              </w:rPr>
            </w:pPr>
          </w:p>
        </w:tc>
        <w:tc>
          <w:tcPr>
            <w:tcW w:w="2999" w:type="dxa"/>
            <w:tcBorders>
              <w:top w:val="single" w:color="auto" w:sz="4" w:space="0"/>
              <w:left w:val="single" w:color="auto" w:sz="4" w:space="0"/>
              <w:bottom w:val="single" w:color="auto" w:sz="4" w:space="0"/>
              <w:right w:val="single" w:color="auto" w:sz="4" w:space="0"/>
            </w:tcBorders>
            <w:vAlign w:val="center"/>
          </w:tcPr>
          <w:p w14:paraId="62165D9B">
            <w:pPr>
              <w:keepNext w:val="0"/>
              <w:keepLines w:val="0"/>
              <w:pageBreakBefore w:val="0"/>
              <w:widowControl/>
              <w:kinsoku/>
              <w:wordWrap/>
              <w:overflowPunct/>
              <w:topLinePunct w:val="0"/>
              <w:autoSpaceDE/>
              <w:autoSpaceDN/>
              <w:bidi w:val="0"/>
              <w:adjustRightInd w:val="0"/>
              <w:snapToGrid w:val="0"/>
              <w:spacing w:after="0" w:line="240" w:lineRule="auto"/>
              <w:ind w:left="0" w:right="0" w:firstLine="0"/>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8"/>
                <w:sz w:val="24"/>
                <w:szCs w:val="24"/>
                <w:highlight w:val="none"/>
              </w:rPr>
              <w:t>显色时间太长</w:t>
            </w:r>
          </w:p>
        </w:tc>
        <w:tc>
          <w:tcPr>
            <w:tcW w:w="4779" w:type="dxa"/>
            <w:tcBorders>
              <w:top w:val="single" w:color="auto" w:sz="4" w:space="0"/>
              <w:left w:val="single" w:color="auto" w:sz="4" w:space="0"/>
              <w:bottom w:val="single" w:color="auto" w:sz="4" w:space="0"/>
              <w:right w:val="single" w:color="auto" w:sz="4" w:space="0"/>
            </w:tcBorders>
            <w:vAlign w:val="center"/>
          </w:tcPr>
          <w:p w14:paraId="0A14F495">
            <w:pPr>
              <w:keepNext w:val="0"/>
              <w:keepLines w:val="0"/>
              <w:pageBreakBefore w:val="0"/>
              <w:widowControl/>
              <w:kinsoku/>
              <w:wordWrap/>
              <w:overflowPunct/>
              <w:topLinePunct w:val="0"/>
              <w:autoSpaceDE/>
              <w:autoSpaceDN/>
              <w:bidi w:val="0"/>
              <w:adjustRightInd w:val="0"/>
              <w:snapToGrid w:val="0"/>
              <w:spacing w:after="0" w:line="240" w:lineRule="auto"/>
              <w:ind w:left="0" w:right="0" w:firstLine="0"/>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9"/>
                <w:sz w:val="24"/>
                <w:szCs w:val="24"/>
                <w:highlight w:val="none"/>
              </w:rPr>
              <w:t>控制显色时间</w:t>
            </w:r>
          </w:p>
        </w:tc>
      </w:tr>
      <w:tr w14:paraId="21CB26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7" w:hRule="atLeast"/>
          <w:jc w:val="center"/>
        </w:trPr>
        <w:tc>
          <w:tcPr>
            <w:tcW w:w="1881" w:type="dxa"/>
            <w:vMerge w:val="continue"/>
            <w:tcBorders>
              <w:top w:val="single" w:color="auto" w:sz="4" w:space="0"/>
              <w:left w:val="single" w:color="auto" w:sz="4" w:space="0"/>
              <w:bottom w:val="single" w:color="auto" w:sz="4" w:space="0"/>
              <w:right w:val="single" w:color="auto" w:sz="4" w:space="0"/>
            </w:tcBorders>
            <w:vAlign w:val="center"/>
          </w:tcPr>
          <w:p w14:paraId="60A5FD83">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eastAsia" w:asciiTheme="minorEastAsia" w:hAnsiTheme="minorEastAsia" w:eastAsiaTheme="minorEastAsia" w:cstheme="minorEastAsia"/>
                <w:color w:val="auto"/>
                <w:sz w:val="24"/>
                <w:szCs w:val="24"/>
                <w:highlight w:val="none"/>
              </w:rPr>
            </w:pPr>
          </w:p>
        </w:tc>
        <w:tc>
          <w:tcPr>
            <w:tcW w:w="2999" w:type="dxa"/>
            <w:tcBorders>
              <w:top w:val="single" w:color="auto" w:sz="4" w:space="0"/>
              <w:left w:val="single" w:color="auto" w:sz="4" w:space="0"/>
              <w:bottom w:val="single" w:color="auto" w:sz="4" w:space="0"/>
              <w:right w:val="single" w:color="auto" w:sz="4" w:space="0"/>
            </w:tcBorders>
            <w:vAlign w:val="center"/>
          </w:tcPr>
          <w:p w14:paraId="601017A4">
            <w:pPr>
              <w:keepNext w:val="0"/>
              <w:keepLines w:val="0"/>
              <w:pageBreakBefore w:val="0"/>
              <w:widowControl/>
              <w:kinsoku/>
              <w:wordWrap/>
              <w:overflowPunct/>
              <w:topLinePunct w:val="0"/>
              <w:autoSpaceDE/>
              <w:autoSpaceDN/>
              <w:bidi w:val="0"/>
              <w:adjustRightInd w:val="0"/>
              <w:snapToGrid w:val="0"/>
              <w:spacing w:after="0" w:line="240" w:lineRule="auto"/>
              <w:ind w:left="0" w:right="0" w:firstLine="0"/>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9"/>
                <w:sz w:val="24"/>
                <w:szCs w:val="24"/>
                <w:highlight w:val="none"/>
                <w:lang w:val="en-US" w:eastAsia="zh-CN"/>
              </w:rPr>
              <w:t>工作液</w:t>
            </w:r>
            <w:r>
              <w:rPr>
                <w:rFonts w:hint="eastAsia" w:asciiTheme="minorEastAsia" w:hAnsiTheme="minorEastAsia" w:eastAsiaTheme="minorEastAsia" w:cstheme="minorEastAsia"/>
                <w:color w:val="auto"/>
                <w:spacing w:val="9"/>
                <w:sz w:val="24"/>
                <w:szCs w:val="24"/>
                <w:highlight w:val="none"/>
              </w:rPr>
              <w:t>稀释错</w:t>
            </w:r>
            <w:r>
              <w:rPr>
                <w:rFonts w:hint="eastAsia" w:asciiTheme="minorEastAsia" w:hAnsiTheme="minorEastAsia" w:eastAsiaTheme="minorEastAsia" w:cstheme="minorEastAsia"/>
                <w:color w:val="auto"/>
                <w:spacing w:val="5"/>
                <w:sz w:val="24"/>
                <w:szCs w:val="24"/>
                <w:highlight w:val="none"/>
              </w:rPr>
              <w:t>误</w:t>
            </w:r>
          </w:p>
        </w:tc>
        <w:tc>
          <w:tcPr>
            <w:tcW w:w="4779" w:type="dxa"/>
            <w:tcBorders>
              <w:top w:val="single" w:color="auto" w:sz="4" w:space="0"/>
              <w:left w:val="single" w:color="auto" w:sz="4" w:space="0"/>
              <w:bottom w:val="single" w:color="auto" w:sz="4" w:space="0"/>
              <w:right w:val="single" w:color="auto" w:sz="4" w:space="0"/>
            </w:tcBorders>
            <w:vAlign w:val="center"/>
          </w:tcPr>
          <w:p w14:paraId="51E8DBC2">
            <w:pPr>
              <w:keepNext w:val="0"/>
              <w:keepLines w:val="0"/>
              <w:pageBreakBefore w:val="0"/>
              <w:widowControl/>
              <w:kinsoku/>
              <w:wordWrap/>
              <w:overflowPunct/>
              <w:topLinePunct w:val="0"/>
              <w:autoSpaceDE/>
              <w:autoSpaceDN/>
              <w:bidi w:val="0"/>
              <w:adjustRightInd w:val="0"/>
              <w:snapToGrid w:val="0"/>
              <w:spacing w:after="0" w:line="240" w:lineRule="auto"/>
              <w:ind w:left="0" w:right="0" w:firstLine="0"/>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9"/>
                <w:sz w:val="24"/>
                <w:szCs w:val="24"/>
                <w:highlight w:val="none"/>
                <w:lang w:val="en-US" w:eastAsia="zh-CN"/>
              </w:rPr>
              <w:t>严格按照说明书</w:t>
            </w:r>
            <w:r>
              <w:rPr>
                <w:rFonts w:hint="eastAsia" w:asciiTheme="minorEastAsia" w:hAnsiTheme="minorEastAsia" w:eastAsiaTheme="minorEastAsia" w:cstheme="minorEastAsia"/>
                <w:color w:val="auto"/>
                <w:spacing w:val="9"/>
                <w:sz w:val="24"/>
                <w:szCs w:val="24"/>
                <w:highlight w:val="none"/>
              </w:rPr>
              <w:t>稀释</w:t>
            </w:r>
          </w:p>
        </w:tc>
      </w:tr>
      <w:tr w14:paraId="35CF7E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7" w:hRule="atLeast"/>
          <w:jc w:val="center"/>
        </w:trPr>
        <w:tc>
          <w:tcPr>
            <w:tcW w:w="1881" w:type="dxa"/>
            <w:vMerge w:val="continue"/>
            <w:tcBorders>
              <w:top w:val="single" w:color="auto" w:sz="4" w:space="0"/>
              <w:left w:val="single" w:color="auto" w:sz="4" w:space="0"/>
              <w:bottom w:val="single" w:color="auto" w:sz="4" w:space="0"/>
              <w:right w:val="single" w:color="auto" w:sz="4" w:space="0"/>
            </w:tcBorders>
            <w:vAlign w:val="center"/>
          </w:tcPr>
          <w:p w14:paraId="3FDEBABE">
            <w:pPr>
              <w:keepNext w:val="0"/>
              <w:keepLines w:val="0"/>
              <w:pageBreakBefore w:val="0"/>
              <w:widowControl/>
              <w:kinsoku/>
              <w:wordWrap/>
              <w:overflowPunct/>
              <w:topLinePunct w:val="0"/>
              <w:autoSpaceDE/>
              <w:autoSpaceDN/>
              <w:bidi w:val="0"/>
              <w:adjustRightInd w:val="0"/>
              <w:snapToGrid w:val="0"/>
              <w:spacing w:line="240" w:lineRule="auto"/>
              <w:ind w:left="0" w:right="0" w:firstLine="0"/>
              <w:jc w:val="center"/>
              <w:textAlignment w:val="auto"/>
              <w:rPr>
                <w:rFonts w:hint="eastAsia" w:asciiTheme="minorEastAsia" w:hAnsiTheme="minorEastAsia" w:eastAsiaTheme="minorEastAsia" w:cstheme="minorEastAsia"/>
                <w:color w:val="auto"/>
                <w:sz w:val="24"/>
                <w:szCs w:val="24"/>
                <w:highlight w:val="none"/>
              </w:rPr>
            </w:pPr>
          </w:p>
        </w:tc>
        <w:tc>
          <w:tcPr>
            <w:tcW w:w="2999" w:type="dxa"/>
            <w:tcBorders>
              <w:top w:val="single" w:color="auto" w:sz="4" w:space="0"/>
              <w:left w:val="single" w:color="auto" w:sz="4" w:space="0"/>
              <w:bottom w:val="single" w:color="auto" w:sz="4" w:space="0"/>
              <w:right w:val="single" w:color="auto" w:sz="4" w:space="0"/>
            </w:tcBorders>
            <w:vAlign w:val="center"/>
          </w:tcPr>
          <w:p w14:paraId="190CDE53">
            <w:pPr>
              <w:keepNext w:val="0"/>
              <w:keepLines w:val="0"/>
              <w:pageBreakBefore w:val="0"/>
              <w:widowControl/>
              <w:kinsoku/>
              <w:wordWrap/>
              <w:overflowPunct/>
              <w:topLinePunct w:val="0"/>
              <w:autoSpaceDE/>
              <w:autoSpaceDN/>
              <w:bidi w:val="0"/>
              <w:adjustRightInd w:val="0"/>
              <w:snapToGrid w:val="0"/>
              <w:spacing w:after="0" w:line="240" w:lineRule="auto"/>
              <w:ind w:left="0" w:right="0" w:firstLine="0"/>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9"/>
                <w:sz w:val="24"/>
                <w:szCs w:val="24"/>
                <w:highlight w:val="none"/>
              </w:rPr>
              <w:t>洗板不</w:t>
            </w:r>
            <w:r>
              <w:rPr>
                <w:rFonts w:hint="eastAsia" w:asciiTheme="minorEastAsia" w:hAnsiTheme="minorEastAsia" w:eastAsiaTheme="minorEastAsia" w:cstheme="minorEastAsia"/>
                <w:color w:val="auto"/>
                <w:spacing w:val="9"/>
                <w:sz w:val="24"/>
                <w:szCs w:val="24"/>
                <w:highlight w:val="none"/>
                <w:lang w:val="en-US" w:eastAsia="zh-CN"/>
              </w:rPr>
              <w:t>充分</w:t>
            </w:r>
          </w:p>
        </w:tc>
        <w:tc>
          <w:tcPr>
            <w:tcW w:w="4779" w:type="dxa"/>
            <w:tcBorders>
              <w:top w:val="single" w:color="auto" w:sz="4" w:space="0"/>
              <w:left w:val="single" w:color="auto" w:sz="4" w:space="0"/>
              <w:bottom w:val="single" w:color="auto" w:sz="4" w:space="0"/>
              <w:right w:val="single" w:color="auto" w:sz="4" w:space="0"/>
            </w:tcBorders>
            <w:vAlign w:val="center"/>
          </w:tcPr>
          <w:p w14:paraId="4009A405">
            <w:pPr>
              <w:keepNext w:val="0"/>
              <w:keepLines w:val="0"/>
              <w:pageBreakBefore w:val="0"/>
              <w:widowControl/>
              <w:kinsoku/>
              <w:wordWrap/>
              <w:overflowPunct/>
              <w:topLinePunct w:val="0"/>
              <w:autoSpaceDE/>
              <w:autoSpaceDN/>
              <w:bidi w:val="0"/>
              <w:adjustRightInd w:val="0"/>
              <w:snapToGrid w:val="0"/>
              <w:spacing w:after="0" w:line="240" w:lineRule="auto"/>
              <w:ind w:left="0" w:right="0" w:firstLine="0"/>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9"/>
                <w:sz w:val="24"/>
                <w:szCs w:val="24"/>
                <w:highlight w:val="none"/>
                <w:lang w:val="en-US" w:eastAsia="zh-CN"/>
              </w:rPr>
              <w:t>保证洗涤次数、时间及加液量</w:t>
            </w:r>
          </w:p>
        </w:tc>
      </w:tr>
    </w:tbl>
    <w:p w14:paraId="01D42419">
      <w:pPr>
        <w:keepNext w:val="0"/>
        <w:keepLines w:val="0"/>
        <w:pageBreakBefore w:val="0"/>
        <w:widowControl/>
        <w:tabs>
          <w:tab w:val="left" w:pos="860"/>
        </w:tabs>
        <w:kinsoku/>
        <w:wordWrap/>
        <w:overflowPunct/>
        <w:topLinePunct w:val="0"/>
        <w:autoSpaceDE/>
        <w:autoSpaceDN/>
        <w:bidi w:val="0"/>
        <w:adjustRightInd w:val="0"/>
        <w:snapToGrid w:val="0"/>
        <w:spacing w:before="312" w:beforeLines="100" w:after="312" w:afterLines="100" w:line="240" w:lineRule="auto"/>
        <w:rPr>
          <w:rFonts w:ascii="宋体" w:hAnsi="宋体" w:eastAsia="宋体" w:cs="Arial"/>
          <w:color w:val="auto"/>
          <w:sz w:val="24"/>
          <w:szCs w:val="24"/>
          <w:highlight w:val="none"/>
        </w:rPr>
      </w:pPr>
      <w:r>
        <w:rPr>
          <w:rFonts w:hint="eastAsia"/>
        </w:rPr>
        <w:drawing>
          <wp:anchor distT="0" distB="0" distL="114300" distR="114300" simplePos="0" relativeHeight="251660288" behindDoc="1" locked="0" layoutInCell="1" allowOverlap="1">
            <wp:simplePos x="0" y="0"/>
            <wp:positionH relativeFrom="column">
              <wp:posOffset>-335280</wp:posOffset>
            </wp:positionH>
            <wp:positionV relativeFrom="page">
              <wp:posOffset>955675</wp:posOffset>
            </wp:positionV>
            <wp:extent cx="6737985" cy="8682355"/>
            <wp:effectExtent l="0" t="0" r="13335" b="4445"/>
            <wp:wrapNone/>
            <wp:docPr id="13" name="图片 13" descr="底纹-0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底纹-01-01"/>
                    <pic:cNvPicPr>
                      <a:picLocks noChangeAspect="1"/>
                    </pic:cNvPicPr>
                  </pic:nvPicPr>
                  <pic:blipFill>
                    <a:blip r:embed="rId7"/>
                    <a:stretch>
                      <a:fillRect/>
                    </a:stretch>
                  </pic:blipFill>
                  <pic:spPr>
                    <a:xfrm>
                      <a:off x="0" y="0"/>
                      <a:ext cx="6737985" cy="8682355"/>
                    </a:xfrm>
                    <a:prstGeom prst="rect">
                      <a:avLst/>
                    </a:prstGeom>
                  </pic:spPr>
                </pic:pic>
              </a:graphicData>
            </a:graphic>
          </wp:anchor>
        </w:drawing>
      </w:r>
    </w:p>
    <w:sectPr>
      <w:headerReference r:id="rId4" w:type="default"/>
      <w:footerReference r:id="rId5" w:type="default"/>
      <w:pgSz w:w="11906" w:h="16838"/>
      <w:pgMar w:top="1440" w:right="1080" w:bottom="1440" w:left="1080" w:header="567" w:footer="567"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MS PGothic">
    <w:panose1 w:val="020B0600070205080204"/>
    <w:charset w:val="80"/>
    <w:family w:val="swiss"/>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B21989">
    <w:pPr>
      <w:pStyle w:val="3"/>
      <w:rPr>
        <w:sz w:val="24"/>
        <w:szCs w:val="24"/>
      </w:rPr>
    </w:pPr>
    <w:r>
      <w:rPr>
        <w:rFonts w:hint="eastAsia"/>
        <w:sz w:val="24"/>
        <w:szCs w:val="24"/>
      </w:rPr>
      <w:t xml:space="preserve">                 </w:t>
    </w:r>
    <w:r>
      <w:rPr>
        <w:rFonts w:hint="default"/>
        <w:sz w:val="24"/>
        <w:szCs w:val="24"/>
        <w:lang w:val="en-US"/>
      </w:rPr>
      <w:t xml:space="preserve">    </w:t>
    </w:r>
    <w:r>
      <w:drawing>
        <wp:anchor distT="0" distB="0" distL="0" distR="0" simplePos="0" relativeHeight="251661312" behindDoc="1" locked="0" layoutInCell="1" allowOverlap="1">
          <wp:simplePos x="0" y="0"/>
          <wp:positionH relativeFrom="page">
            <wp:posOffset>280035</wp:posOffset>
          </wp:positionH>
          <wp:positionV relativeFrom="page">
            <wp:posOffset>9638665</wp:posOffset>
          </wp:positionV>
          <wp:extent cx="6839585" cy="739140"/>
          <wp:effectExtent l="0" t="0" r="3175" b="7620"/>
          <wp:wrapNone/>
          <wp:docPr id="1" name="Image 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839585" cy="739140"/>
                  </a:xfrm>
                  <a:prstGeom prst="rect">
                    <a:avLst/>
                  </a:prstGeom>
                </pic:spPr>
              </pic:pic>
            </a:graphicData>
          </a:graphic>
        </wp:anchor>
      </w:drawing>
    </w:r>
  </w:p>
  <w:p w14:paraId="6A17CEEC">
    <w:pPr>
      <w:pStyle w:val="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DC9705">
    <w:pPr>
      <w:pStyle w:val="4"/>
    </w:pPr>
  </w:p>
  <w:p w14:paraId="28C57811">
    <w:pPr>
      <w:pStyle w:val="4"/>
    </w:pPr>
  </w:p>
  <w:p w14:paraId="25F2A241">
    <w:pPr>
      <w:pStyle w:val="4"/>
    </w:pPr>
    <w:r>
      <w:drawing>
        <wp:anchor distT="0" distB="0" distL="0" distR="0" simplePos="0" relativeHeight="251659264" behindDoc="0" locked="0" layoutInCell="1" allowOverlap="1">
          <wp:simplePos x="0" y="0"/>
          <wp:positionH relativeFrom="page">
            <wp:posOffset>304165</wp:posOffset>
          </wp:positionH>
          <wp:positionV relativeFrom="page">
            <wp:posOffset>202565</wp:posOffset>
          </wp:positionV>
          <wp:extent cx="6839585" cy="804545"/>
          <wp:effectExtent l="0" t="0" r="0" b="0"/>
          <wp:wrapNone/>
          <wp:docPr id="4" name="Image 4"/>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 cstate="print"/>
                  <a:stretch>
                    <a:fillRect/>
                  </a:stretch>
                </pic:blipFill>
                <pic:spPr>
                  <a:xfrm>
                    <a:off x="0" y="0"/>
                    <a:ext cx="6839585" cy="804545"/>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57F0B8"/>
    <w:multiLevelType w:val="singleLevel"/>
    <w:tmpl w:val="9957F0B8"/>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AzZWQ0OGMzYmMyYjI5ODFiZjlhZTEzNjRjNDIxNmIifQ=="/>
    <w:docVar w:name="KSO_WPS_MARK_KEY" w:val="0e57e694-c294-4dd2-a735-7f378c73ee01"/>
  </w:docVars>
  <w:rsids>
    <w:rsidRoot w:val="57C4227E"/>
    <w:rsid w:val="001309A1"/>
    <w:rsid w:val="00207D56"/>
    <w:rsid w:val="003B4BBE"/>
    <w:rsid w:val="004A5008"/>
    <w:rsid w:val="00552125"/>
    <w:rsid w:val="0083441F"/>
    <w:rsid w:val="00933A2D"/>
    <w:rsid w:val="00B5146B"/>
    <w:rsid w:val="00B65B64"/>
    <w:rsid w:val="00CE64A3"/>
    <w:rsid w:val="00D11D13"/>
    <w:rsid w:val="00E87FD3"/>
    <w:rsid w:val="00F253EC"/>
    <w:rsid w:val="01FF3BC3"/>
    <w:rsid w:val="02FE1FF9"/>
    <w:rsid w:val="03EC1A9D"/>
    <w:rsid w:val="06CF132A"/>
    <w:rsid w:val="07FC214F"/>
    <w:rsid w:val="09410F80"/>
    <w:rsid w:val="0A9C4B87"/>
    <w:rsid w:val="0B3F4299"/>
    <w:rsid w:val="0BCB5394"/>
    <w:rsid w:val="0D7B0108"/>
    <w:rsid w:val="0D814026"/>
    <w:rsid w:val="10032BB1"/>
    <w:rsid w:val="10DE3D70"/>
    <w:rsid w:val="11387094"/>
    <w:rsid w:val="127476C4"/>
    <w:rsid w:val="13F90CA2"/>
    <w:rsid w:val="1BC70E80"/>
    <w:rsid w:val="1BEF8364"/>
    <w:rsid w:val="1F3120B8"/>
    <w:rsid w:val="216E4EBF"/>
    <w:rsid w:val="21E94975"/>
    <w:rsid w:val="25A22934"/>
    <w:rsid w:val="27BE06A3"/>
    <w:rsid w:val="27CD3313"/>
    <w:rsid w:val="28A15A4A"/>
    <w:rsid w:val="2942136C"/>
    <w:rsid w:val="2C274ED1"/>
    <w:rsid w:val="2C565568"/>
    <w:rsid w:val="2D263E4A"/>
    <w:rsid w:val="30E42053"/>
    <w:rsid w:val="311C17EC"/>
    <w:rsid w:val="32D0288E"/>
    <w:rsid w:val="37C244E6"/>
    <w:rsid w:val="3919183E"/>
    <w:rsid w:val="39E83C77"/>
    <w:rsid w:val="3AD76819"/>
    <w:rsid w:val="3BD04EBA"/>
    <w:rsid w:val="3CAC76FD"/>
    <w:rsid w:val="3E6808B7"/>
    <w:rsid w:val="3E89513C"/>
    <w:rsid w:val="44263446"/>
    <w:rsid w:val="47CE23EF"/>
    <w:rsid w:val="482728EE"/>
    <w:rsid w:val="48EA2AA2"/>
    <w:rsid w:val="4A9D2281"/>
    <w:rsid w:val="4AFF484C"/>
    <w:rsid w:val="4B5D76DF"/>
    <w:rsid w:val="50A92A8E"/>
    <w:rsid w:val="51811730"/>
    <w:rsid w:val="54955B80"/>
    <w:rsid w:val="55A76876"/>
    <w:rsid w:val="57C4227E"/>
    <w:rsid w:val="58253C3E"/>
    <w:rsid w:val="587C4230"/>
    <w:rsid w:val="5A355549"/>
    <w:rsid w:val="5C190553"/>
    <w:rsid w:val="5CBD1826"/>
    <w:rsid w:val="5F3F5CB7"/>
    <w:rsid w:val="5F457217"/>
    <w:rsid w:val="5FDFAD7E"/>
    <w:rsid w:val="61C74274"/>
    <w:rsid w:val="62EC14F1"/>
    <w:rsid w:val="64AD7DEA"/>
    <w:rsid w:val="65931931"/>
    <w:rsid w:val="66212E26"/>
    <w:rsid w:val="68E5638C"/>
    <w:rsid w:val="6D771107"/>
    <w:rsid w:val="6E696CBF"/>
    <w:rsid w:val="6F3FF164"/>
    <w:rsid w:val="6FD838D9"/>
    <w:rsid w:val="706402B6"/>
    <w:rsid w:val="70F85802"/>
    <w:rsid w:val="723B0DCB"/>
    <w:rsid w:val="7CC73B3C"/>
    <w:rsid w:val="7D9A39FF"/>
    <w:rsid w:val="D77D5C63"/>
    <w:rsid w:val="F3FD3EBB"/>
    <w:rsid w:val="FFDF64C2"/>
    <w:rsid w:val="FFFED1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2">
    <w:name w:val="heading 1"/>
    <w:basedOn w:val="1"/>
    <w:next w:val="1"/>
    <w:qFormat/>
    <w:uiPriority w:val="0"/>
    <w:pPr>
      <w:spacing w:beforeAutospacing="1" w:after="0" w:afterAutospacing="1"/>
      <w:outlineLvl w:val="0"/>
    </w:pPr>
    <w:rPr>
      <w:rFonts w:hint="eastAsia" w:ascii="宋体" w:hAnsi="宋体" w:eastAsia="宋体" w:cs="Times New Roman"/>
      <w:b/>
      <w:bCs/>
      <w:kern w:val="44"/>
      <w:sz w:val="48"/>
      <w:szCs w:val="48"/>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JL正文1"/>
    <w:basedOn w:val="1"/>
    <w:qFormat/>
    <w:uiPriority w:val="0"/>
    <w:pPr>
      <w:spacing w:line="500" w:lineRule="exact"/>
    </w:pPr>
    <w:rPr>
      <w:sz w:val="24"/>
    </w:rPr>
  </w:style>
  <w:style w:type="table" w:customStyle="1" w:styleId="10">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3123</Words>
  <Characters>3651</Characters>
  <Lines>28</Lines>
  <Paragraphs>8</Paragraphs>
  <TotalTime>0</TotalTime>
  <ScaleCrop>false</ScaleCrop>
  <LinksUpToDate>false</LinksUpToDate>
  <CharactersWithSpaces>3747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2024-05-24T11:19:00Z</dcterms:created>
  <dc:creator>江莱生物.陈 13621662912</dc:creator>
  <cp:lastModifiedBy>黄媛霞</cp:lastModifiedBy>
  <cp:lastPrinted>2024-06-27T06:40:00Z</cp:lastPrinted>
  <dcterms:modified xsi:type="dcterms:W3CDTF">2025-03-30T06:39:38Z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018C67ABEE2746B4B621DCA2E9ECE7BA_13</vt:lpwstr>
  </property>
  <property fmtid="{D5CDD505-2E9C-101B-9397-08002B2CF9AE}" pid="4" name="KSOTemplateDocerSaveRecord">
    <vt:lpwstr>eyJoZGlkIjoiZTJkNjlhOTJiZmVkNDhlODU2MGEwZGNmNjc5NGFlZGIiLCJ1c2VySWQiOiIxMDg1NjE0MTIxIn0=</vt:lpwstr>
  </property>
</Properties>
</file>